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F9" w:rsidRPr="00F525F5" w:rsidRDefault="009B31E1" w:rsidP="00FA05F9">
      <w:pPr>
        <w:rPr>
          <w:b/>
        </w:rPr>
      </w:pPr>
      <w:bookmarkStart w:id="0" w:name="_GoBack"/>
      <w:bookmarkEnd w:id="0"/>
      <w:r w:rsidRPr="00F525F5">
        <w:rPr>
          <w:b/>
        </w:rPr>
        <w:t>Cabinet Committee on Performance Improvement</w:t>
      </w:r>
    </w:p>
    <w:p w:rsidR="00FA05F9" w:rsidRPr="00F525F5" w:rsidRDefault="009B31E1" w:rsidP="00FA05F9">
      <w:r w:rsidRPr="00F525F5">
        <w:t>Meeting to be held on Thursday, 12 September 2019, 2pm</w:t>
      </w:r>
    </w:p>
    <w:p w:rsidR="00FA05F9" w:rsidRPr="00F525F5" w:rsidRDefault="00FA05F9" w:rsidP="00FA05F9"/>
    <w:p w:rsidR="00FA05F9" w:rsidRPr="00F525F5" w:rsidRDefault="009B31E1" w:rsidP="00FA05F9">
      <w:pPr>
        <w:rPr>
          <w:b/>
        </w:rPr>
      </w:pPr>
      <w:r w:rsidRPr="00F525F5">
        <w:rPr>
          <w:b/>
        </w:rPr>
        <w:t>Report of the Chief Executive</w:t>
      </w:r>
    </w:p>
    <w:p w:rsidR="00FA05F9" w:rsidRPr="00F525F5" w:rsidRDefault="00FA05F9">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744FE">
        <w:tc>
          <w:tcPr>
            <w:tcW w:w="3260" w:type="dxa"/>
          </w:tcPr>
          <w:p w:rsidR="00FA05F9" w:rsidRPr="001171D8" w:rsidRDefault="009B31E1" w:rsidP="001171D8">
            <w:pPr>
              <w:rPr>
                <w:sz w:val="28"/>
                <w:szCs w:val="28"/>
              </w:rPr>
            </w:pPr>
            <w:r w:rsidRPr="001171D8">
              <w:rPr>
                <w:b/>
                <w:sz w:val="28"/>
                <w:szCs w:val="28"/>
              </w:rPr>
              <w:t xml:space="preserve">Part I </w:t>
            </w:r>
          </w:p>
        </w:tc>
      </w:tr>
    </w:tbl>
    <w:p w:rsidR="00FA05F9" w:rsidRPr="00F525F5" w:rsidRDefault="00FA05F9"/>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744FE">
        <w:tc>
          <w:tcPr>
            <w:tcW w:w="3260" w:type="dxa"/>
          </w:tcPr>
          <w:p w:rsidR="00FA05F9" w:rsidRPr="00F525F5" w:rsidRDefault="009B31E1">
            <w:pPr>
              <w:pStyle w:val="BodyText"/>
            </w:pPr>
            <w:r w:rsidRPr="00F525F5">
              <w:t>Electoral Division affected:</w:t>
            </w:r>
          </w:p>
          <w:p w:rsidR="00FA05F9" w:rsidRPr="00F525F5" w:rsidRDefault="009B31E1">
            <w:r w:rsidRPr="00F525F5">
              <w:t>All</w:t>
            </w:r>
          </w:p>
        </w:tc>
      </w:tr>
    </w:tbl>
    <w:p w:rsidR="00FA05F9" w:rsidRPr="00F525F5" w:rsidRDefault="00FA05F9">
      <w:pPr>
        <w:rPr>
          <w:u w:val="single"/>
        </w:rPr>
      </w:pPr>
    </w:p>
    <w:p w:rsidR="00FA05F9" w:rsidRPr="00F525F5" w:rsidRDefault="009B31E1" w:rsidP="00FA05F9">
      <w:pPr>
        <w:rPr>
          <w:b/>
        </w:rPr>
      </w:pPr>
      <w:r w:rsidRPr="00F525F5">
        <w:rPr>
          <w:b/>
        </w:rPr>
        <w:t>Quarterly Corporate Performance Monitoring Report – Quarter 1 2019/20</w:t>
      </w:r>
    </w:p>
    <w:p w:rsidR="00FA05F9" w:rsidRPr="00F525F5" w:rsidRDefault="00FA05F9"/>
    <w:p w:rsidR="00FA05F9" w:rsidRPr="00F525F5" w:rsidRDefault="009B31E1">
      <w:r w:rsidRPr="00F525F5">
        <w:t>Contact for further information:</w:t>
      </w:r>
    </w:p>
    <w:p w:rsidR="00FA05F9" w:rsidRPr="00F525F5" w:rsidRDefault="009B31E1" w:rsidP="00FA05F9">
      <w:pPr>
        <w:ind w:right="-873"/>
      </w:pPr>
      <w:r w:rsidRPr="00F525F5">
        <w:t xml:space="preserve">Michael Walder, 01772 533637, Business Intelligence, </w:t>
      </w:r>
    </w:p>
    <w:p w:rsidR="00FA05F9" w:rsidRPr="00CA7749" w:rsidRDefault="005A5945" w:rsidP="00FA05F9">
      <w:pPr>
        <w:ind w:right="-873"/>
        <w:rPr>
          <w:rStyle w:val="SubtleEmphasis"/>
          <w:i w:val="0"/>
          <w:iCs w:val="0"/>
          <w:color w:val="auto"/>
        </w:rPr>
      </w:pPr>
      <w:hyperlink r:id="rId8" w:history="1">
        <w:r w:rsidR="009B31E1" w:rsidRPr="00F525F5">
          <w:rPr>
            <w:rStyle w:val="Hyperlink"/>
            <w:color w:val="auto"/>
          </w:rPr>
          <w:t>Michael.Walder@lancashire.gov.uk</w:t>
        </w:r>
      </w:hyperlink>
      <w:r w:rsidR="009B31E1" w:rsidRPr="00F525F5">
        <w:t xml:space="preserve">  </w:t>
      </w:r>
    </w:p>
    <w:tbl>
      <w:tblPr>
        <w:tblpPr w:leftFromText="180" w:rightFromText="180" w:vertAnchor="text" w:horzAnchor="margin" w:tblpY="1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744FE" w:rsidTr="00FA05F9">
        <w:tc>
          <w:tcPr>
            <w:tcW w:w="9067" w:type="dxa"/>
          </w:tcPr>
          <w:p w:rsidR="00FA05F9" w:rsidRDefault="009B31E1" w:rsidP="00FA05F9">
            <w:pPr>
              <w:pStyle w:val="Heading6"/>
              <w:rPr>
                <w:rFonts w:ascii="Arial" w:hAnsi="Arial"/>
                <w:szCs w:val="24"/>
              </w:rPr>
            </w:pPr>
            <w:r w:rsidRPr="00F525F5">
              <w:rPr>
                <w:rFonts w:ascii="Arial" w:hAnsi="Arial"/>
                <w:szCs w:val="24"/>
              </w:rPr>
              <w:t xml:space="preserve">Executive Summary </w:t>
            </w:r>
          </w:p>
          <w:p w:rsidR="001171D8" w:rsidRPr="001171D8" w:rsidRDefault="001171D8" w:rsidP="001171D8"/>
          <w:p w:rsidR="00FA05F9" w:rsidRDefault="009B31E1" w:rsidP="00FA05F9">
            <w:pPr>
              <w:jc w:val="both"/>
              <w:rPr>
                <w:bCs/>
                <w:color w:val="FF0000"/>
                <w:szCs w:val="24"/>
              </w:rPr>
            </w:pPr>
            <w:r w:rsidRPr="00F525F5">
              <w:rPr>
                <w:bCs/>
                <w:szCs w:val="24"/>
              </w:rPr>
              <w:t xml:space="preserve">This Corporate Performance Monitoring Report provides an overview of </w:t>
            </w:r>
            <w:r w:rsidRPr="005A72D2">
              <w:rPr>
                <w:bCs/>
                <w:szCs w:val="24"/>
              </w:rPr>
              <w:t>performance activity across the Council for quarter 1 of 2019/20 and where appropriate/available</w:t>
            </w:r>
            <w:r>
              <w:rPr>
                <w:bCs/>
                <w:szCs w:val="24"/>
              </w:rPr>
              <w:t>,</w:t>
            </w:r>
            <w:r w:rsidRPr="005A72D2">
              <w:rPr>
                <w:bCs/>
                <w:szCs w:val="24"/>
              </w:rPr>
              <w:t xml:space="preserve"> compares pe</w:t>
            </w:r>
            <w:r>
              <w:rPr>
                <w:bCs/>
                <w:szCs w:val="24"/>
              </w:rPr>
              <w:t>rformance against previous quarters and with performance nationally</w:t>
            </w:r>
            <w:r w:rsidRPr="005A72D2">
              <w:rPr>
                <w:bCs/>
                <w:szCs w:val="24"/>
              </w:rPr>
              <w:t>.</w:t>
            </w:r>
          </w:p>
          <w:p w:rsidR="00FA05F9" w:rsidRPr="00F525F5" w:rsidRDefault="00FA05F9" w:rsidP="00FA05F9">
            <w:pPr>
              <w:jc w:val="both"/>
              <w:rPr>
                <w:bCs/>
                <w:color w:val="FF0000"/>
                <w:szCs w:val="24"/>
              </w:rPr>
            </w:pPr>
          </w:p>
          <w:p w:rsidR="00FA05F9" w:rsidRPr="004713FB" w:rsidRDefault="009B31E1" w:rsidP="00FA05F9">
            <w:pPr>
              <w:jc w:val="both"/>
              <w:rPr>
                <w:bCs/>
                <w:szCs w:val="24"/>
              </w:rPr>
            </w:pPr>
            <w:r w:rsidRPr="00F525F5">
              <w:rPr>
                <w:bCs/>
                <w:szCs w:val="24"/>
              </w:rPr>
              <w:t xml:space="preserve">Highlights: </w:t>
            </w:r>
          </w:p>
          <w:p w:rsidR="00FA05F9" w:rsidRPr="00A87ADF" w:rsidRDefault="009B31E1" w:rsidP="00FA05F9">
            <w:pPr>
              <w:pStyle w:val="ListParagraph"/>
              <w:numPr>
                <w:ilvl w:val="0"/>
                <w:numId w:val="46"/>
              </w:numPr>
              <w:jc w:val="both"/>
              <w:rPr>
                <w:bCs/>
              </w:rPr>
            </w:pPr>
            <w:r w:rsidRPr="004713FB">
              <w:rPr>
                <w:rFonts w:eastAsiaTheme="minorEastAsia" w:cs="Arial"/>
              </w:rPr>
              <w:t>Timeliness of undertaking children's social care a</w:t>
            </w:r>
            <w:r>
              <w:rPr>
                <w:rFonts w:eastAsiaTheme="minorEastAsia" w:cs="Arial"/>
              </w:rPr>
              <w:t>ssessments in quarter 1 remained at the improved level achieved in quarter 4</w:t>
            </w:r>
            <w:r w:rsidRPr="004713FB">
              <w:rPr>
                <w:rFonts w:eastAsiaTheme="minorEastAsia" w:cs="Arial"/>
              </w:rPr>
              <w:t>.</w:t>
            </w:r>
            <w:r>
              <w:rPr>
                <w:rFonts w:eastAsiaTheme="minorEastAsia" w:cs="Arial"/>
              </w:rPr>
              <w:t xml:space="preserve"> A</w:t>
            </w:r>
            <w:r w:rsidRPr="00C66320">
              <w:rPr>
                <w:rFonts w:eastAsiaTheme="minorEastAsia" w:cs="Arial"/>
              </w:rPr>
              <w:t>ssessments complet</w:t>
            </w:r>
            <w:r>
              <w:rPr>
                <w:rFonts w:eastAsiaTheme="minorEastAsia" w:cs="Arial"/>
              </w:rPr>
              <w:t>ed taking over 45 days is currently</w:t>
            </w:r>
            <w:r w:rsidRPr="00C66320">
              <w:rPr>
                <w:rFonts w:eastAsiaTheme="minorEastAsia" w:cs="Arial"/>
              </w:rPr>
              <w:t xml:space="preserve"> lower than all the comparator averages</w:t>
            </w:r>
            <w:r>
              <w:rPr>
                <w:rFonts w:eastAsiaTheme="minorEastAsia" w:cs="Arial"/>
              </w:rPr>
              <w:t xml:space="preserve"> for the past 2 quarters</w:t>
            </w:r>
            <w:r w:rsidRPr="00C66320">
              <w:rPr>
                <w:rFonts w:eastAsiaTheme="minorEastAsia" w:cs="Arial"/>
              </w:rPr>
              <w:t>.</w:t>
            </w:r>
          </w:p>
          <w:p w:rsidR="00FA05F9" w:rsidRPr="00A87ADF" w:rsidRDefault="009B31E1" w:rsidP="00FA05F9">
            <w:pPr>
              <w:pStyle w:val="NoSpacing"/>
              <w:numPr>
                <w:ilvl w:val="0"/>
                <w:numId w:val="46"/>
              </w:numPr>
              <w:jc w:val="both"/>
              <w:rPr>
                <w:rFonts w:ascii="Arial" w:eastAsiaTheme="minorHAnsi" w:hAnsi="Arial" w:cs="Arial"/>
                <w:sz w:val="24"/>
                <w:szCs w:val="24"/>
                <w:lang w:eastAsia="en-US"/>
              </w:rPr>
            </w:pPr>
            <w:r w:rsidRPr="00A87ADF">
              <w:rPr>
                <w:rFonts w:ascii="Arial" w:eastAsiaTheme="minorHAnsi" w:hAnsi="Arial" w:cs="Arial"/>
                <w:sz w:val="24"/>
                <w:szCs w:val="24"/>
                <w:lang w:eastAsia="en-US"/>
              </w:rPr>
              <w:t>F</w:t>
            </w:r>
            <w:r>
              <w:rPr>
                <w:rFonts w:ascii="Arial" w:eastAsiaTheme="minorHAnsi" w:hAnsi="Arial" w:cs="Arial"/>
                <w:sz w:val="24"/>
                <w:szCs w:val="24"/>
                <w:lang w:eastAsia="en-US"/>
              </w:rPr>
              <w:t xml:space="preserve">ollowing a recent joint inspection </w:t>
            </w:r>
            <w:r>
              <w:rPr>
                <w:rFonts w:ascii="Arial" w:hAnsi="Arial" w:cs="Arial"/>
                <w:sz w:val="24"/>
                <w:szCs w:val="24"/>
              </w:rPr>
              <w:t xml:space="preserve">of </w:t>
            </w:r>
            <w:r w:rsidRPr="00A87ADF">
              <w:rPr>
                <w:rFonts w:ascii="Arial" w:hAnsi="Arial" w:cs="Arial"/>
                <w:sz w:val="24"/>
                <w:szCs w:val="24"/>
              </w:rPr>
              <w:t>Lancashire</w:t>
            </w:r>
            <w:r>
              <w:rPr>
                <w:rFonts w:ascii="Arial" w:hAnsi="Arial" w:cs="Arial"/>
                <w:sz w:val="24"/>
                <w:szCs w:val="24"/>
              </w:rPr>
              <w:t xml:space="preserve"> youth offending services,</w:t>
            </w:r>
            <w:r w:rsidRPr="00A87ADF">
              <w:rPr>
                <w:rFonts w:ascii="Arial" w:hAnsi="Arial" w:cs="Arial"/>
                <w:sz w:val="24"/>
                <w:szCs w:val="24"/>
              </w:rPr>
              <w:t xml:space="preserve"> </w:t>
            </w:r>
            <w:r>
              <w:rPr>
                <w:rFonts w:ascii="Arial" w:hAnsi="Arial" w:cs="Arial"/>
                <w:sz w:val="24"/>
                <w:szCs w:val="24"/>
              </w:rPr>
              <w:t xml:space="preserve">our </w:t>
            </w:r>
            <w:r w:rsidRPr="00A87ADF">
              <w:rPr>
                <w:rFonts w:ascii="Arial" w:eastAsiaTheme="minorHAnsi" w:hAnsi="Arial" w:cs="Arial"/>
                <w:sz w:val="24"/>
                <w:szCs w:val="24"/>
                <w:lang w:eastAsia="en-US"/>
              </w:rPr>
              <w:t xml:space="preserve">Youth Offending Team </w:t>
            </w:r>
            <w:r>
              <w:rPr>
                <w:rFonts w:ascii="Arial" w:eastAsiaTheme="minorHAnsi" w:hAnsi="Arial" w:cs="Arial"/>
                <w:sz w:val="24"/>
                <w:szCs w:val="24"/>
                <w:lang w:eastAsia="en-US"/>
              </w:rPr>
              <w:t xml:space="preserve">was rated as </w:t>
            </w:r>
            <w:r w:rsidRPr="00A87ADF">
              <w:rPr>
                <w:rFonts w:ascii="Arial" w:eastAsiaTheme="minorHAnsi" w:hAnsi="Arial" w:cs="Arial"/>
                <w:sz w:val="24"/>
                <w:szCs w:val="24"/>
                <w:lang w:eastAsia="en-US"/>
              </w:rPr>
              <w:t>Good.</w:t>
            </w:r>
            <w:r>
              <w:rPr>
                <w:rFonts w:ascii="Arial" w:eastAsiaTheme="minorHAnsi" w:hAnsi="Arial" w:cs="Arial"/>
                <w:sz w:val="24"/>
                <w:szCs w:val="24"/>
                <w:lang w:eastAsia="en-US"/>
              </w:rPr>
              <w:t xml:space="preserve"> </w:t>
            </w:r>
          </w:p>
          <w:p w:rsidR="00FA05F9" w:rsidRPr="00A22EA5" w:rsidRDefault="009B31E1" w:rsidP="00FA05F9">
            <w:pPr>
              <w:pStyle w:val="ListParagraph"/>
              <w:numPr>
                <w:ilvl w:val="0"/>
                <w:numId w:val="46"/>
              </w:numPr>
              <w:jc w:val="both"/>
              <w:rPr>
                <w:bCs/>
              </w:rPr>
            </w:pPr>
            <w:r w:rsidRPr="00A22EA5">
              <w:rPr>
                <w:rFonts w:cs="Arial"/>
              </w:rPr>
              <w:t>Children and Family Wellbeing</w:t>
            </w:r>
            <w:r w:rsidRPr="00A22EA5">
              <w:rPr>
                <w:rFonts w:cs="Arial"/>
                <w:i/>
              </w:rPr>
              <w:t xml:space="preserve"> </w:t>
            </w:r>
            <w:r w:rsidRPr="00A22EA5">
              <w:t>payment by results claims</w:t>
            </w:r>
            <w:r>
              <w:t xml:space="preserve"> submitted to </w:t>
            </w:r>
            <w:r w:rsidRPr="00E0441C">
              <w:t>the Ministry for Housing, Communities and Local Government</w:t>
            </w:r>
            <w:r>
              <w:t xml:space="preserve"> regarding supporting families achieved</w:t>
            </w:r>
            <w:r w:rsidRPr="00A22EA5">
              <w:t xml:space="preserve"> the </w:t>
            </w:r>
            <w:r>
              <w:t xml:space="preserve">target of 5,370 families by </w:t>
            </w:r>
            <w:r w:rsidRPr="00A22EA5">
              <w:t>June</w:t>
            </w:r>
            <w:r>
              <w:t xml:space="preserve"> 2019</w:t>
            </w:r>
            <w:r w:rsidRPr="00A22EA5">
              <w:t>.</w:t>
            </w:r>
          </w:p>
          <w:p w:rsidR="00FA05F9" w:rsidRDefault="009B31E1" w:rsidP="00FA05F9">
            <w:pPr>
              <w:pStyle w:val="NoSpacing"/>
              <w:numPr>
                <w:ilvl w:val="0"/>
                <w:numId w:val="46"/>
              </w:numPr>
              <w:jc w:val="both"/>
              <w:rPr>
                <w:rFonts w:ascii="Arial" w:hAnsi="Arial" w:cs="Arial"/>
                <w:sz w:val="24"/>
                <w:szCs w:val="24"/>
              </w:rPr>
            </w:pPr>
            <w:r w:rsidRPr="006F08AC">
              <w:rPr>
                <w:rFonts w:ascii="Arial" w:hAnsi="Arial" w:cs="Arial"/>
                <w:sz w:val="24"/>
                <w:szCs w:val="24"/>
              </w:rPr>
              <w:t>There is a further incr</w:t>
            </w:r>
            <w:r>
              <w:rPr>
                <w:rFonts w:ascii="Arial" w:hAnsi="Arial" w:cs="Arial"/>
                <w:sz w:val="24"/>
                <w:szCs w:val="24"/>
              </w:rPr>
              <w:t>ease in the proportion of adult social care service users</w:t>
            </w:r>
            <w:r w:rsidRPr="006F08AC">
              <w:rPr>
                <w:rFonts w:ascii="Arial" w:hAnsi="Arial" w:cs="Arial"/>
                <w:sz w:val="24"/>
                <w:szCs w:val="24"/>
              </w:rPr>
              <w:t xml:space="preserve"> receiving direct payments, which keeps Lancashire higher than the national average.  </w:t>
            </w:r>
          </w:p>
          <w:p w:rsidR="00FA05F9" w:rsidRDefault="009B31E1" w:rsidP="00FA05F9">
            <w:pPr>
              <w:pStyle w:val="NoSpacing"/>
              <w:numPr>
                <w:ilvl w:val="0"/>
                <w:numId w:val="46"/>
              </w:numPr>
              <w:jc w:val="both"/>
              <w:rPr>
                <w:rFonts w:ascii="Arial" w:hAnsi="Arial" w:cs="Arial"/>
                <w:sz w:val="24"/>
                <w:szCs w:val="24"/>
              </w:rPr>
            </w:pPr>
            <w:r>
              <w:rPr>
                <w:rFonts w:ascii="Arial" w:hAnsi="Arial" w:cs="Arial"/>
                <w:sz w:val="24"/>
                <w:szCs w:val="24"/>
              </w:rPr>
              <w:t>Over 95</w:t>
            </w:r>
            <w:r w:rsidRPr="00F33FAF">
              <w:rPr>
                <w:rFonts w:ascii="Arial" w:hAnsi="Arial" w:cs="Arial"/>
                <w:sz w:val="24"/>
                <w:szCs w:val="24"/>
              </w:rPr>
              <w:t xml:space="preserve">% of </w:t>
            </w:r>
            <w:r>
              <w:rPr>
                <w:rFonts w:ascii="Arial" w:hAnsi="Arial" w:cs="Arial"/>
                <w:sz w:val="24"/>
                <w:szCs w:val="24"/>
              </w:rPr>
              <w:t xml:space="preserve">adult </w:t>
            </w:r>
            <w:r w:rsidRPr="00F33FAF">
              <w:rPr>
                <w:rFonts w:ascii="Arial" w:hAnsi="Arial" w:cs="Arial"/>
                <w:sz w:val="24"/>
                <w:szCs w:val="24"/>
              </w:rPr>
              <w:t>social work assessments were com</w:t>
            </w:r>
            <w:r>
              <w:rPr>
                <w:rFonts w:ascii="Arial" w:hAnsi="Arial" w:cs="Arial"/>
                <w:sz w:val="24"/>
                <w:szCs w:val="24"/>
              </w:rPr>
              <w:t>pleted within 4 weeks.</w:t>
            </w:r>
          </w:p>
          <w:p w:rsidR="00FA05F9" w:rsidRPr="00834C1F" w:rsidRDefault="009B31E1" w:rsidP="00FA05F9">
            <w:pPr>
              <w:pStyle w:val="NoSpacing"/>
              <w:numPr>
                <w:ilvl w:val="0"/>
                <w:numId w:val="46"/>
              </w:numPr>
              <w:jc w:val="both"/>
              <w:rPr>
                <w:rFonts w:ascii="Arial" w:hAnsi="Arial" w:cs="Arial"/>
                <w:sz w:val="24"/>
                <w:szCs w:val="24"/>
              </w:rPr>
            </w:pPr>
            <w:r w:rsidRPr="00F33FAF">
              <w:rPr>
                <w:rFonts w:ascii="Arial" w:hAnsi="Arial" w:cs="Arial"/>
                <w:sz w:val="24"/>
                <w:szCs w:val="24"/>
              </w:rPr>
              <w:t>Delayed transfers of ca</w:t>
            </w:r>
            <w:r>
              <w:rPr>
                <w:rFonts w:ascii="Arial" w:hAnsi="Arial" w:cs="Arial"/>
                <w:sz w:val="24"/>
                <w:szCs w:val="24"/>
              </w:rPr>
              <w:t xml:space="preserve">re from hospital </w:t>
            </w:r>
            <w:r w:rsidRPr="00F33FAF">
              <w:rPr>
                <w:rFonts w:ascii="Arial" w:hAnsi="Arial" w:cs="Arial"/>
                <w:sz w:val="24"/>
                <w:szCs w:val="24"/>
              </w:rPr>
              <w:t>have improve</w:t>
            </w:r>
            <w:r>
              <w:rPr>
                <w:rFonts w:ascii="Arial" w:hAnsi="Arial" w:cs="Arial"/>
                <w:sz w:val="24"/>
                <w:szCs w:val="24"/>
              </w:rPr>
              <w:t>d considerably in Quarter 1</w:t>
            </w:r>
            <w:r w:rsidRPr="00834C1F">
              <w:rPr>
                <w:rFonts w:ascii="Arial" w:hAnsi="Arial" w:cs="Arial"/>
                <w:sz w:val="24"/>
                <w:szCs w:val="24"/>
              </w:rPr>
              <w:t>.</w:t>
            </w:r>
          </w:p>
          <w:p w:rsidR="00FA05F9" w:rsidRPr="00834C1F" w:rsidRDefault="009B31E1" w:rsidP="00FA05F9">
            <w:pPr>
              <w:pStyle w:val="NoSpacing"/>
              <w:numPr>
                <w:ilvl w:val="0"/>
                <w:numId w:val="46"/>
              </w:numPr>
              <w:jc w:val="both"/>
              <w:rPr>
                <w:rFonts w:ascii="Arial" w:hAnsi="Arial" w:cs="Arial"/>
                <w:sz w:val="24"/>
                <w:szCs w:val="24"/>
              </w:rPr>
            </w:pPr>
            <w:r w:rsidRPr="00834C1F">
              <w:rPr>
                <w:rFonts w:ascii="Arial" w:hAnsi="Arial" w:cs="Arial"/>
                <w:sz w:val="24"/>
                <w:szCs w:val="24"/>
              </w:rPr>
              <w:t xml:space="preserve">The percentages of care homes and community care services in Lancashire rated good or outstanding match or exceed the NW and England averages.  </w:t>
            </w:r>
          </w:p>
          <w:p w:rsidR="00FA05F9" w:rsidRPr="00A87ADF" w:rsidRDefault="009B31E1" w:rsidP="00FA05F9">
            <w:pPr>
              <w:pStyle w:val="ListParagraph"/>
              <w:numPr>
                <w:ilvl w:val="0"/>
                <w:numId w:val="46"/>
              </w:numPr>
              <w:jc w:val="both"/>
              <w:rPr>
                <w:bCs/>
              </w:rPr>
            </w:pPr>
            <w:r w:rsidRPr="00834C1F">
              <w:t>The average time taken to repair highway street lighting faults decreased.</w:t>
            </w:r>
            <w:r w:rsidRPr="00834C1F">
              <w:rPr>
                <w:rFonts w:cs="Arial"/>
              </w:rPr>
              <w:t xml:space="preserve"> </w:t>
            </w:r>
          </w:p>
          <w:p w:rsidR="00FA05F9" w:rsidRPr="00D753EB" w:rsidRDefault="00FA05F9" w:rsidP="00FA05F9">
            <w:pPr>
              <w:pStyle w:val="ListParagraph"/>
              <w:jc w:val="both"/>
              <w:rPr>
                <w:bCs/>
              </w:rPr>
            </w:pPr>
          </w:p>
          <w:p w:rsidR="00FA05F9" w:rsidRPr="00F525F5" w:rsidRDefault="009B31E1" w:rsidP="00FA05F9">
            <w:pPr>
              <w:jc w:val="both"/>
              <w:rPr>
                <w:bCs/>
              </w:rPr>
            </w:pPr>
            <w:r w:rsidRPr="00F525F5">
              <w:rPr>
                <w:bCs/>
              </w:rPr>
              <w:t xml:space="preserve">However: </w:t>
            </w:r>
          </w:p>
          <w:p w:rsidR="00FA05F9" w:rsidRDefault="009B31E1" w:rsidP="00FA05F9">
            <w:pPr>
              <w:pStyle w:val="NoSpacing"/>
              <w:numPr>
                <w:ilvl w:val="0"/>
                <w:numId w:val="46"/>
              </w:numPr>
              <w:rPr>
                <w:rFonts w:ascii="Arial" w:eastAsiaTheme="minorEastAsia" w:hAnsi="Arial" w:cs="Arial"/>
                <w:color w:val="000000" w:themeColor="text1"/>
                <w:sz w:val="24"/>
                <w:szCs w:val="24"/>
              </w:rPr>
            </w:pPr>
            <w:r w:rsidRPr="00571FB2">
              <w:rPr>
                <w:rFonts w:ascii="Arial" w:eastAsiaTheme="minorEastAsia" w:hAnsi="Arial" w:cs="Arial"/>
                <w:color w:val="000000" w:themeColor="text1"/>
                <w:sz w:val="24"/>
                <w:szCs w:val="24"/>
              </w:rPr>
              <w:t>The latest child protectio</w:t>
            </w:r>
            <w:r>
              <w:rPr>
                <w:rFonts w:ascii="Arial" w:eastAsiaTheme="minorEastAsia" w:hAnsi="Arial" w:cs="Arial"/>
                <w:color w:val="000000" w:themeColor="text1"/>
                <w:sz w:val="24"/>
                <w:szCs w:val="24"/>
              </w:rPr>
              <w:t xml:space="preserve">n plan rate (57.0 per 10,000) is </w:t>
            </w:r>
            <w:r w:rsidRPr="00571FB2">
              <w:rPr>
                <w:rFonts w:ascii="Arial" w:eastAsiaTheme="minorEastAsia" w:hAnsi="Arial" w:cs="Arial"/>
                <w:color w:val="000000" w:themeColor="text1"/>
                <w:sz w:val="24"/>
                <w:szCs w:val="24"/>
              </w:rPr>
              <w:t xml:space="preserve">the highest </w:t>
            </w:r>
            <w:r>
              <w:rPr>
                <w:rFonts w:ascii="Arial" w:eastAsiaTheme="minorEastAsia" w:hAnsi="Arial" w:cs="Arial"/>
                <w:color w:val="000000" w:themeColor="text1"/>
                <w:sz w:val="24"/>
                <w:szCs w:val="24"/>
              </w:rPr>
              <w:t>it's been since February 2017</w:t>
            </w:r>
            <w:r w:rsidRPr="00571FB2">
              <w:rPr>
                <w:rFonts w:ascii="Arial" w:eastAsiaTheme="minorEastAsia" w:hAnsi="Arial" w:cs="Arial"/>
                <w:color w:val="000000" w:themeColor="text1"/>
                <w:sz w:val="24"/>
                <w:szCs w:val="24"/>
              </w:rPr>
              <w:t>.</w:t>
            </w:r>
          </w:p>
          <w:p w:rsidR="00FA05F9" w:rsidRPr="00D753EB" w:rsidRDefault="009B31E1" w:rsidP="00FA05F9">
            <w:pPr>
              <w:pStyle w:val="ListParagraph"/>
              <w:numPr>
                <w:ilvl w:val="0"/>
                <w:numId w:val="46"/>
              </w:numPr>
              <w:jc w:val="both"/>
              <w:rPr>
                <w:bCs/>
              </w:rPr>
            </w:pPr>
            <w:r w:rsidRPr="00855528">
              <w:t>The time taken to repair some highway defects is above the number of days targeted.</w:t>
            </w:r>
          </w:p>
          <w:p w:rsidR="00FA05F9" w:rsidRPr="00D753EB" w:rsidRDefault="009B31E1" w:rsidP="00FA05F9">
            <w:pPr>
              <w:pStyle w:val="NoSpacing"/>
              <w:numPr>
                <w:ilvl w:val="0"/>
                <w:numId w:val="46"/>
              </w:numPr>
              <w:rPr>
                <w:rFonts w:ascii="Arial" w:eastAsiaTheme="minorEastAsia" w:hAnsi="Arial" w:cs="Arial"/>
                <w:color w:val="000000" w:themeColor="text1"/>
                <w:sz w:val="24"/>
                <w:szCs w:val="24"/>
              </w:rPr>
            </w:pPr>
            <w:r w:rsidRPr="00F33FAF">
              <w:rPr>
                <w:rFonts w:ascii="Arial" w:hAnsi="Arial" w:cs="Arial"/>
                <w:sz w:val="24"/>
                <w:szCs w:val="24"/>
              </w:rPr>
              <w:lastRenderedPageBreak/>
              <w:t>Lancashire's rate of older people admitted to residential care</w:t>
            </w:r>
            <w:r>
              <w:rPr>
                <w:rFonts w:ascii="Arial" w:hAnsi="Arial" w:cs="Arial"/>
                <w:sz w:val="24"/>
                <w:szCs w:val="24"/>
              </w:rPr>
              <w:t xml:space="preserve"> is </w:t>
            </w:r>
            <w:r w:rsidRPr="00F33FAF">
              <w:rPr>
                <w:rFonts w:ascii="Arial" w:hAnsi="Arial" w:cs="Arial"/>
                <w:sz w:val="24"/>
                <w:szCs w:val="24"/>
              </w:rPr>
              <w:t>considerably higher than th</w:t>
            </w:r>
            <w:r>
              <w:rPr>
                <w:rFonts w:ascii="Arial" w:hAnsi="Arial" w:cs="Arial"/>
                <w:sz w:val="24"/>
                <w:szCs w:val="24"/>
              </w:rPr>
              <w:t>e national average</w:t>
            </w:r>
            <w:r w:rsidRPr="00F33FAF">
              <w:rPr>
                <w:rFonts w:ascii="Arial" w:hAnsi="Arial" w:cs="Arial"/>
                <w:sz w:val="24"/>
                <w:szCs w:val="24"/>
              </w:rPr>
              <w:t xml:space="preserve">. </w:t>
            </w:r>
          </w:p>
          <w:p w:rsidR="00FA05F9" w:rsidRDefault="00FA05F9" w:rsidP="00FA05F9">
            <w:pPr>
              <w:pStyle w:val="Heading5"/>
              <w:rPr>
                <w:rFonts w:ascii="Arial" w:hAnsi="Arial"/>
                <w:szCs w:val="24"/>
                <w:u w:val="none"/>
              </w:rPr>
            </w:pPr>
          </w:p>
          <w:p w:rsidR="00FA05F9" w:rsidRDefault="009B31E1" w:rsidP="00FA05F9">
            <w:pPr>
              <w:pStyle w:val="Heading5"/>
              <w:rPr>
                <w:rFonts w:ascii="Arial" w:hAnsi="Arial"/>
                <w:szCs w:val="24"/>
                <w:u w:val="none"/>
              </w:rPr>
            </w:pPr>
            <w:r w:rsidRPr="00F525F5">
              <w:rPr>
                <w:rFonts w:ascii="Arial" w:hAnsi="Arial"/>
                <w:szCs w:val="24"/>
                <w:u w:val="none"/>
              </w:rPr>
              <w:t>Recommendation</w:t>
            </w:r>
          </w:p>
          <w:p w:rsidR="00FA05F9" w:rsidRPr="00FA05F9" w:rsidRDefault="00FA05F9" w:rsidP="00FA05F9"/>
          <w:p w:rsidR="00FA05F9" w:rsidRDefault="00FA05F9" w:rsidP="00FA05F9">
            <w:pPr>
              <w:rPr>
                <w:szCs w:val="24"/>
              </w:rPr>
            </w:pPr>
            <w:r>
              <w:rPr>
                <w:szCs w:val="24"/>
              </w:rPr>
              <w:t>The Cabinet Committee on Performance Improvement</w:t>
            </w:r>
            <w:r w:rsidR="009B31E1" w:rsidRPr="00F525F5">
              <w:rPr>
                <w:szCs w:val="24"/>
              </w:rPr>
              <w:t xml:space="preserve"> is asked to comment</w:t>
            </w:r>
            <w:r w:rsidR="009B31E1" w:rsidRPr="00F525F5">
              <w:rPr>
                <w:i/>
                <w:szCs w:val="24"/>
              </w:rPr>
              <w:t xml:space="preserve"> </w:t>
            </w:r>
            <w:r w:rsidR="009B31E1" w:rsidRPr="00F525F5">
              <w:rPr>
                <w:szCs w:val="24"/>
              </w:rPr>
              <w:t xml:space="preserve">on and note the reported performance for quarter 1 of 2019/20. </w:t>
            </w:r>
          </w:p>
          <w:p w:rsidR="00FA05F9" w:rsidRPr="00F525F5" w:rsidRDefault="00FA05F9" w:rsidP="00FA05F9">
            <w:pPr>
              <w:rPr>
                <w:color w:val="FF0000"/>
                <w:szCs w:val="24"/>
              </w:rPr>
            </w:pPr>
          </w:p>
        </w:tc>
      </w:tr>
    </w:tbl>
    <w:p w:rsidR="00FA05F9" w:rsidRDefault="00FA05F9" w:rsidP="00FA05F9">
      <w:pPr>
        <w:rPr>
          <w:rFonts w:cs="Arial"/>
          <w:b/>
          <w:szCs w:val="24"/>
        </w:rPr>
      </w:pPr>
    </w:p>
    <w:p w:rsidR="00FA05F9" w:rsidRPr="00E77EBA" w:rsidRDefault="009B31E1" w:rsidP="00FA05F9">
      <w:pPr>
        <w:rPr>
          <w:rFonts w:cs="Arial"/>
          <w:b/>
          <w:szCs w:val="24"/>
        </w:rPr>
      </w:pPr>
      <w:r w:rsidRPr="00E77EBA">
        <w:rPr>
          <w:rFonts w:cs="Arial"/>
          <w:b/>
          <w:szCs w:val="24"/>
        </w:rPr>
        <w:t>Performance Summary</w:t>
      </w:r>
    </w:p>
    <w:p w:rsidR="00FA05F9" w:rsidRPr="00E77EBA" w:rsidRDefault="009B31E1" w:rsidP="00FA05F9">
      <w:pPr>
        <w:rPr>
          <w:rFonts w:cs="Arial"/>
          <w:b/>
          <w:szCs w:val="24"/>
        </w:rPr>
      </w:pPr>
      <w:r w:rsidRPr="00E77EBA">
        <w:rPr>
          <w:rFonts w:cs="Arial"/>
          <w:b/>
          <w:szCs w:val="24"/>
        </w:rPr>
        <w:t>Education and Children's Services</w:t>
      </w:r>
      <w:r w:rsidRPr="005A72D2">
        <w:rPr>
          <w:rFonts w:eastAsiaTheme="minorHAnsi" w:cs="Arial"/>
          <w:b/>
          <w:i/>
          <w:color w:val="000000" w:themeColor="text1"/>
          <w:szCs w:val="24"/>
          <w:lang w:eastAsia="en-US"/>
        </w:rPr>
        <w:t xml:space="preserve"> </w:t>
      </w:r>
    </w:p>
    <w:p w:rsidR="00FA05F9" w:rsidRPr="00E77EBA" w:rsidRDefault="00FA05F9" w:rsidP="00FA05F9">
      <w:pPr>
        <w:pStyle w:val="NoSpacing"/>
        <w:rPr>
          <w:rFonts w:eastAsiaTheme="minorHAnsi"/>
          <w:color w:val="0070C0"/>
        </w:rPr>
      </w:pPr>
    </w:p>
    <w:p w:rsidR="00FA05F9" w:rsidRPr="00E77EBA" w:rsidRDefault="009B31E1" w:rsidP="00FA05F9">
      <w:pPr>
        <w:pStyle w:val="NoSpacing"/>
        <w:rPr>
          <w:rFonts w:eastAsiaTheme="minorHAnsi"/>
          <w:i/>
          <w:lang w:eastAsia="en-US"/>
        </w:rPr>
      </w:pPr>
      <w:r w:rsidRPr="00E77EBA">
        <w:rPr>
          <w:rFonts w:eastAsiaTheme="minorHAnsi"/>
          <w:i/>
          <w:lang w:eastAsia="en-US"/>
        </w:rPr>
        <w:t xml:space="preserve">Key for performance: </w:t>
      </w:r>
    </w:p>
    <w:tbl>
      <w:tblPr>
        <w:tblW w:w="5967" w:type="dxa"/>
        <w:tblInd w:w="-5" w:type="dxa"/>
        <w:tblLook w:val="04A0" w:firstRow="1" w:lastRow="0" w:firstColumn="1" w:lastColumn="0" w:noHBand="0" w:noVBand="1"/>
      </w:tblPr>
      <w:tblGrid>
        <w:gridCol w:w="1447"/>
        <w:gridCol w:w="2440"/>
        <w:gridCol w:w="2080"/>
      </w:tblGrid>
      <w:tr w:rsidR="004744FE" w:rsidTr="00FA05F9">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A05F9" w:rsidRPr="00E77EBA" w:rsidRDefault="009B31E1" w:rsidP="00FA05F9">
            <w:pPr>
              <w:rPr>
                <w:rFonts w:cs="Arial"/>
                <w:i/>
                <w:iCs/>
                <w:sz w:val="18"/>
                <w:szCs w:val="18"/>
              </w:rPr>
            </w:pPr>
            <w:r w:rsidRPr="00E77EBA">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rsidR="00FA05F9" w:rsidRPr="00E77EBA" w:rsidRDefault="009B31E1" w:rsidP="00FA05F9">
            <w:pPr>
              <w:rPr>
                <w:rFonts w:cs="Arial"/>
                <w:i/>
                <w:iCs/>
                <w:sz w:val="18"/>
                <w:szCs w:val="18"/>
              </w:rPr>
            </w:pPr>
            <w:r w:rsidRPr="00E77EBA">
              <w:rPr>
                <w:rFonts w:cs="Arial"/>
                <w:i/>
                <w:iCs/>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rsidR="00FA05F9" w:rsidRPr="00D53981" w:rsidRDefault="009B31E1" w:rsidP="00FA05F9">
            <w:pPr>
              <w:rPr>
                <w:rFonts w:cs="Arial"/>
                <w:i/>
                <w:color w:val="000000" w:themeColor="text1"/>
                <w:sz w:val="18"/>
                <w:szCs w:val="18"/>
              </w:rPr>
            </w:pPr>
            <w:r w:rsidRPr="00F525F5">
              <w:rPr>
                <w:rFonts w:cs="Arial"/>
                <w:i/>
                <w:color w:val="FFFFFF" w:themeColor="background1"/>
                <w:sz w:val="18"/>
                <w:szCs w:val="18"/>
              </w:rPr>
              <w:t>Requires improvement</w:t>
            </w:r>
          </w:p>
        </w:tc>
      </w:tr>
    </w:tbl>
    <w:p w:rsidR="00FA05F9" w:rsidRDefault="00FA05F9" w:rsidP="00FA05F9">
      <w:pPr>
        <w:rPr>
          <w:rFonts w:eastAsiaTheme="minorHAnsi" w:cs="Arial"/>
          <w:i/>
          <w:color w:val="000000" w:themeColor="text1"/>
          <w:szCs w:val="24"/>
          <w:lang w:eastAsia="en-US"/>
        </w:rPr>
      </w:pPr>
    </w:p>
    <w:p w:rsidR="00FA05F9" w:rsidRPr="00973284" w:rsidRDefault="009B31E1" w:rsidP="00FA05F9">
      <w:pPr>
        <w:rPr>
          <w:rFonts w:eastAsiaTheme="minorHAnsi" w:cs="Arial"/>
          <w:i/>
          <w:color w:val="000000" w:themeColor="text1"/>
          <w:szCs w:val="24"/>
          <w:lang w:eastAsia="en-US"/>
        </w:rPr>
      </w:pPr>
      <w:r w:rsidRPr="00973284">
        <w:rPr>
          <w:rFonts w:eastAsiaTheme="minorHAnsi" w:cs="Arial"/>
          <w:i/>
          <w:color w:val="000000" w:themeColor="text1"/>
          <w:szCs w:val="24"/>
          <w:lang w:eastAsia="en-US"/>
        </w:rPr>
        <w:t>Children's Social Care</w:t>
      </w:r>
    </w:p>
    <w:p w:rsidR="00FA05F9" w:rsidRPr="00E77EBA" w:rsidRDefault="00FA05F9" w:rsidP="00FA05F9">
      <w:pPr>
        <w:tabs>
          <w:tab w:val="left" w:pos="6705"/>
        </w:tabs>
        <w:rPr>
          <w:rFonts w:eastAsiaTheme="minorHAnsi" w:cs="Arial"/>
          <w:b/>
          <w:i/>
          <w:color w:val="0070C0"/>
          <w:szCs w:val="24"/>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732"/>
        <w:gridCol w:w="1106"/>
        <w:gridCol w:w="910"/>
        <w:gridCol w:w="910"/>
        <w:gridCol w:w="910"/>
        <w:gridCol w:w="910"/>
        <w:gridCol w:w="910"/>
        <w:gridCol w:w="1151"/>
      </w:tblGrid>
      <w:tr w:rsidR="004744FE" w:rsidTr="00FA05F9">
        <w:trPr>
          <w:trHeight w:val="325"/>
        </w:trPr>
        <w:tc>
          <w:tcPr>
            <w:tcW w:w="1670" w:type="dxa"/>
            <w:shd w:val="clear" w:color="000000" w:fill="D9D9D9"/>
            <w:vAlign w:val="center"/>
            <w:hideMark/>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Performance Measure</w:t>
            </w:r>
          </w:p>
        </w:tc>
        <w:tc>
          <w:tcPr>
            <w:tcW w:w="732" w:type="dxa"/>
            <w:shd w:val="clear" w:color="000000" w:fill="D9D9D9"/>
            <w:vAlign w:val="center"/>
            <w:hideMark/>
          </w:tcPr>
          <w:p w:rsidR="00FA05F9" w:rsidRPr="00836D3C" w:rsidRDefault="009B31E1" w:rsidP="00FA05F9">
            <w:pPr>
              <w:jc w:val="center"/>
              <w:rPr>
                <w:rFonts w:cs="Arial"/>
                <w:b/>
                <w:bCs/>
                <w:color w:val="000000" w:themeColor="text1"/>
                <w:sz w:val="18"/>
                <w:szCs w:val="18"/>
              </w:rPr>
            </w:pPr>
            <w:r w:rsidRPr="00836D3C">
              <w:rPr>
                <w:rFonts w:cs="Arial"/>
                <w:b/>
                <w:bCs/>
                <w:color w:val="000000" w:themeColor="text1"/>
                <w:sz w:val="18"/>
                <w:szCs w:val="18"/>
              </w:rPr>
              <w:t>Good is High or Low</w:t>
            </w:r>
          </w:p>
        </w:tc>
        <w:tc>
          <w:tcPr>
            <w:tcW w:w="1106" w:type="dxa"/>
            <w:shd w:val="clear" w:color="000000" w:fill="D9D9D9"/>
            <w:noWrap/>
            <w:vAlign w:val="center"/>
            <w:hideMark/>
          </w:tcPr>
          <w:p w:rsidR="00FA05F9" w:rsidRPr="00836D3C" w:rsidRDefault="009B31E1" w:rsidP="00FA05F9">
            <w:pPr>
              <w:jc w:val="center"/>
              <w:rPr>
                <w:rFonts w:cs="Arial"/>
                <w:b/>
                <w:bCs/>
                <w:color w:val="000000" w:themeColor="text1"/>
                <w:sz w:val="18"/>
                <w:szCs w:val="18"/>
              </w:rPr>
            </w:pPr>
            <w:r w:rsidRPr="00836D3C">
              <w:rPr>
                <w:rFonts w:cs="Arial"/>
                <w:b/>
                <w:bCs/>
                <w:color w:val="000000" w:themeColor="text1"/>
                <w:sz w:val="18"/>
                <w:szCs w:val="18"/>
              </w:rPr>
              <w:t>2017/18</w:t>
            </w:r>
          </w:p>
        </w:tc>
        <w:tc>
          <w:tcPr>
            <w:tcW w:w="910" w:type="dxa"/>
            <w:shd w:val="clear" w:color="000000" w:fill="D9D9D9"/>
            <w:vAlign w:val="center"/>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Q2 18/19</w:t>
            </w:r>
          </w:p>
        </w:tc>
        <w:tc>
          <w:tcPr>
            <w:tcW w:w="910" w:type="dxa"/>
            <w:shd w:val="clear" w:color="000000" w:fill="D9D9D9"/>
            <w:vAlign w:val="center"/>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Q3 18/19</w:t>
            </w:r>
          </w:p>
        </w:tc>
        <w:tc>
          <w:tcPr>
            <w:tcW w:w="910" w:type="dxa"/>
            <w:shd w:val="clear" w:color="000000" w:fill="D9D9D9"/>
            <w:vAlign w:val="center"/>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Q4 18/19</w:t>
            </w:r>
          </w:p>
        </w:tc>
        <w:tc>
          <w:tcPr>
            <w:tcW w:w="910" w:type="dxa"/>
            <w:shd w:val="clear" w:color="000000" w:fill="D9D9D9"/>
            <w:vAlign w:val="center"/>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2018/19</w:t>
            </w:r>
          </w:p>
        </w:tc>
        <w:tc>
          <w:tcPr>
            <w:tcW w:w="910" w:type="dxa"/>
            <w:shd w:val="clear" w:color="000000" w:fill="D9D9D9"/>
            <w:vAlign w:val="center"/>
          </w:tcPr>
          <w:p w:rsidR="00FA05F9" w:rsidRPr="00836D3C" w:rsidRDefault="009B31E1" w:rsidP="00FA05F9">
            <w:pPr>
              <w:rPr>
                <w:rFonts w:cs="Arial"/>
                <w:b/>
                <w:bCs/>
                <w:color w:val="000000" w:themeColor="text1"/>
                <w:sz w:val="18"/>
                <w:szCs w:val="18"/>
              </w:rPr>
            </w:pPr>
            <w:r w:rsidRPr="00836D3C">
              <w:rPr>
                <w:rFonts w:cs="Arial"/>
                <w:b/>
                <w:bCs/>
                <w:color w:val="000000" w:themeColor="text1"/>
                <w:sz w:val="18"/>
                <w:szCs w:val="18"/>
              </w:rPr>
              <w:t>Q</w:t>
            </w:r>
            <w:r>
              <w:rPr>
                <w:rFonts w:cs="Arial"/>
                <w:b/>
                <w:bCs/>
                <w:color w:val="000000" w:themeColor="text1"/>
                <w:sz w:val="18"/>
                <w:szCs w:val="18"/>
              </w:rPr>
              <w:t>1</w:t>
            </w:r>
            <w:r w:rsidRPr="00836D3C">
              <w:rPr>
                <w:rFonts w:cs="Arial"/>
                <w:b/>
                <w:bCs/>
                <w:color w:val="000000" w:themeColor="text1"/>
                <w:sz w:val="18"/>
                <w:szCs w:val="18"/>
              </w:rPr>
              <w:t xml:space="preserve"> 1</w:t>
            </w:r>
            <w:r>
              <w:rPr>
                <w:rFonts w:cs="Arial"/>
                <w:b/>
                <w:bCs/>
                <w:color w:val="000000" w:themeColor="text1"/>
                <w:sz w:val="18"/>
                <w:szCs w:val="18"/>
              </w:rPr>
              <w:t>9</w:t>
            </w:r>
            <w:r w:rsidRPr="00836D3C">
              <w:rPr>
                <w:rFonts w:cs="Arial"/>
                <w:b/>
                <w:bCs/>
                <w:color w:val="000000" w:themeColor="text1"/>
                <w:sz w:val="18"/>
                <w:szCs w:val="18"/>
              </w:rPr>
              <w:t>/</w:t>
            </w:r>
            <w:r>
              <w:rPr>
                <w:rFonts w:cs="Arial"/>
                <w:b/>
                <w:bCs/>
                <w:color w:val="000000" w:themeColor="text1"/>
                <w:sz w:val="18"/>
                <w:szCs w:val="18"/>
              </w:rPr>
              <w:t>20</w:t>
            </w:r>
          </w:p>
        </w:tc>
        <w:tc>
          <w:tcPr>
            <w:tcW w:w="1151" w:type="dxa"/>
            <w:shd w:val="clear" w:color="000000" w:fill="D9D9D9"/>
            <w:vAlign w:val="center"/>
          </w:tcPr>
          <w:p w:rsidR="00FA05F9" w:rsidRPr="00836D3C" w:rsidRDefault="009B31E1" w:rsidP="00FA05F9">
            <w:pPr>
              <w:jc w:val="center"/>
              <w:rPr>
                <w:rFonts w:cs="Arial"/>
                <w:b/>
                <w:bCs/>
                <w:color w:val="000000" w:themeColor="text1"/>
                <w:sz w:val="18"/>
                <w:szCs w:val="18"/>
              </w:rPr>
            </w:pPr>
            <w:r w:rsidRPr="00836D3C">
              <w:rPr>
                <w:rFonts w:cs="Arial"/>
                <w:b/>
                <w:bCs/>
                <w:color w:val="000000" w:themeColor="text1"/>
                <w:sz w:val="18"/>
                <w:szCs w:val="18"/>
              </w:rPr>
              <w:t>England</w:t>
            </w:r>
          </w:p>
          <w:p w:rsidR="00FA05F9" w:rsidRPr="00836D3C" w:rsidRDefault="009B31E1" w:rsidP="00FA05F9">
            <w:pPr>
              <w:jc w:val="center"/>
              <w:rPr>
                <w:rFonts w:cs="Arial"/>
                <w:b/>
                <w:bCs/>
                <w:color w:val="000000" w:themeColor="text1"/>
                <w:sz w:val="18"/>
                <w:szCs w:val="18"/>
              </w:rPr>
            </w:pPr>
            <w:r w:rsidRPr="00836D3C">
              <w:rPr>
                <w:rFonts w:cs="Arial"/>
                <w:b/>
                <w:bCs/>
                <w:color w:val="000000" w:themeColor="text1"/>
                <w:sz w:val="18"/>
                <w:szCs w:val="18"/>
              </w:rPr>
              <w:t>Average</w:t>
            </w:r>
          </w:p>
        </w:tc>
      </w:tr>
      <w:tr w:rsidR="004744FE" w:rsidTr="00FA05F9">
        <w:trPr>
          <w:trHeight w:val="72"/>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Number and rate (per 10k)  of referrals during the year</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10,337/</w:t>
            </w:r>
          </w:p>
          <w:p w:rsidR="00FA05F9" w:rsidRPr="00836D3C" w:rsidRDefault="009B31E1" w:rsidP="00FA05F9">
            <w:pPr>
              <w:jc w:val="center"/>
              <w:rPr>
                <w:rFonts w:cs="Arial"/>
                <w:color w:val="000000" w:themeColor="text1"/>
                <w:sz w:val="18"/>
                <w:szCs w:val="18"/>
              </w:rPr>
            </w:pPr>
            <w:r w:rsidRPr="00836D3C">
              <w:rPr>
                <w:color w:val="000000" w:themeColor="text1"/>
                <w:sz w:val="18"/>
                <w:szCs w:val="18"/>
              </w:rPr>
              <w:t>419.4</w:t>
            </w:r>
          </w:p>
        </w:tc>
        <w:tc>
          <w:tcPr>
            <w:tcW w:w="910" w:type="dxa"/>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2,605/</w:t>
            </w:r>
          </w:p>
          <w:p w:rsidR="00FA05F9" w:rsidRPr="00836D3C" w:rsidRDefault="009B31E1" w:rsidP="00FA05F9">
            <w:pPr>
              <w:jc w:val="center"/>
              <w:rPr>
                <w:color w:val="000000" w:themeColor="text1"/>
                <w:sz w:val="18"/>
                <w:szCs w:val="18"/>
              </w:rPr>
            </w:pPr>
            <w:r w:rsidRPr="00836D3C">
              <w:rPr>
                <w:color w:val="000000" w:themeColor="text1"/>
                <w:sz w:val="18"/>
                <w:szCs w:val="18"/>
              </w:rPr>
              <w:t>105.1</w:t>
            </w:r>
          </w:p>
        </w:tc>
        <w:tc>
          <w:tcPr>
            <w:tcW w:w="910" w:type="dxa"/>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2,482/</w:t>
            </w:r>
          </w:p>
          <w:p w:rsidR="00FA05F9" w:rsidRPr="00836D3C" w:rsidRDefault="009B31E1" w:rsidP="00FA05F9">
            <w:pPr>
              <w:jc w:val="center"/>
              <w:rPr>
                <w:color w:val="000000" w:themeColor="text1"/>
                <w:sz w:val="18"/>
                <w:szCs w:val="18"/>
              </w:rPr>
            </w:pPr>
            <w:r w:rsidRPr="00836D3C">
              <w:rPr>
                <w:color w:val="000000" w:themeColor="text1"/>
                <w:sz w:val="18"/>
                <w:szCs w:val="18"/>
              </w:rPr>
              <w:t>100.0</w:t>
            </w:r>
          </w:p>
        </w:tc>
        <w:tc>
          <w:tcPr>
            <w:tcW w:w="910" w:type="dxa"/>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3,198/</w:t>
            </w:r>
          </w:p>
          <w:p w:rsidR="00FA05F9" w:rsidRPr="00836D3C" w:rsidRDefault="009B31E1" w:rsidP="00FA05F9">
            <w:pPr>
              <w:jc w:val="center"/>
              <w:rPr>
                <w:color w:val="000000" w:themeColor="text1"/>
                <w:sz w:val="18"/>
                <w:szCs w:val="18"/>
              </w:rPr>
            </w:pPr>
            <w:r w:rsidRPr="00836D3C">
              <w:rPr>
                <w:color w:val="000000" w:themeColor="text1"/>
                <w:sz w:val="18"/>
                <w:szCs w:val="18"/>
              </w:rPr>
              <w:t>129.0</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11,662/</w:t>
            </w:r>
          </w:p>
          <w:p w:rsidR="00FA05F9" w:rsidRPr="00836D3C" w:rsidRDefault="009B31E1" w:rsidP="00FA05F9">
            <w:pPr>
              <w:jc w:val="center"/>
              <w:rPr>
                <w:color w:val="000000" w:themeColor="text1"/>
                <w:sz w:val="18"/>
                <w:szCs w:val="18"/>
              </w:rPr>
            </w:pPr>
            <w:r w:rsidRPr="00836D3C">
              <w:rPr>
                <w:color w:val="000000" w:themeColor="text1"/>
                <w:sz w:val="18"/>
                <w:szCs w:val="18"/>
              </w:rPr>
              <w:t>471.1</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2,757</w:t>
            </w:r>
            <w:r w:rsidRPr="00836D3C">
              <w:rPr>
                <w:color w:val="000000" w:themeColor="text1"/>
                <w:sz w:val="18"/>
                <w:szCs w:val="18"/>
              </w:rPr>
              <w:t>/</w:t>
            </w:r>
          </w:p>
          <w:p w:rsidR="00FA05F9" w:rsidRPr="00836D3C" w:rsidRDefault="009B31E1" w:rsidP="00FA05F9">
            <w:pPr>
              <w:jc w:val="center"/>
              <w:rPr>
                <w:color w:val="000000" w:themeColor="text1"/>
                <w:sz w:val="18"/>
                <w:szCs w:val="18"/>
              </w:rPr>
            </w:pPr>
            <w:r>
              <w:rPr>
                <w:color w:val="000000" w:themeColor="text1"/>
                <w:sz w:val="18"/>
                <w:szCs w:val="18"/>
              </w:rPr>
              <w:t>111.2</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552.5</w:t>
            </w:r>
          </w:p>
        </w:tc>
      </w:tr>
      <w:tr w:rsidR="004744FE" w:rsidTr="00FA05F9">
        <w:trPr>
          <w:trHeight w:val="325"/>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Number and percentage of referrals that are re-referrals during the year</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1,937/</w:t>
            </w:r>
          </w:p>
          <w:p w:rsidR="00FA05F9" w:rsidRPr="00836D3C" w:rsidRDefault="009B31E1" w:rsidP="00FA05F9">
            <w:pPr>
              <w:jc w:val="center"/>
              <w:rPr>
                <w:rFonts w:cs="Arial"/>
                <w:color w:val="000000" w:themeColor="text1"/>
                <w:sz w:val="18"/>
                <w:szCs w:val="18"/>
              </w:rPr>
            </w:pPr>
            <w:r w:rsidRPr="00836D3C">
              <w:rPr>
                <w:color w:val="000000" w:themeColor="text1"/>
                <w:sz w:val="18"/>
                <w:szCs w:val="18"/>
              </w:rPr>
              <w:t>19.0%</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568/</w:t>
            </w:r>
            <w:r w:rsidRPr="00836D3C">
              <w:rPr>
                <w:color w:val="000000" w:themeColor="text1"/>
                <w:sz w:val="18"/>
                <w:szCs w:val="18"/>
              </w:rPr>
              <w:br/>
              <w:t>21.8%</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511/</w:t>
            </w:r>
          </w:p>
          <w:p w:rsidR="00FA05F9" w:rsidRPr="00836D3C" w:rsidRDefault="009B31E1" w:rsidP="00FA05F9">
            <w:pPr>
              <w:jc w:val="center"/>
              <w:rPr>
                <w:color w:val="000000" w:themeColor="text1"/>
                <w:sz w:val="18"/>
                <w:szCs w:val="18"/>
              </w:rPr>
            </w:pPr>
            <w:r w:rsidRPr="00836D3C">
              <w:rPr>
                <w:color w:val="000000" w:themeColor="text1"/>
                <w:sz w:val="18"/>
                <w:szCs w:val="18"/>
              </w:rPr>
              <w:t>20.5%</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628/</w:t>
            </w:r>
          </w:p>
          <w:p w:rsidR="00FA05F9" w:rsidRPr="00836D3C" w:rsidRDefault="009B31E1" w:rsidP="00FA05F9">
            <w:pPr>
              <w:jc w:val="center"/>
              <w:rPr>
                <w:color w:val="000000" w:themeColor="text1"/>
                <w:sz w:val="18"/>
                <w:szCs w:val="18"/>
              </w:rPr>
            </w:pPr>
            <w:r w:rsidRPr="00836D3C">
              <w:rPr>
                <w:color w:val="000000" w:themeColor="text1"/>
                <w:sz w:val="18"/>
                <w:szCs w:val="18"/>
              </w:rPr>
              <w:t>19.6%</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2,367/</w:t>
            </w:r>
          </w:p>
          <w:p w:rsidR="00FA05F9" w:rsidRPr="00836D3C" w:rsidRDefault="009B31E1" w:rsidP="00FA05F9">
            <w:pPr>
              <w:jc w:val="center"/>
              <w:rPr>
                <w:color w:val="000000" w:themeColor="text1"/>
                <w:sz w:val="18"/>
                <w:szCs w:val="18"/>
              </w:rPr>
            </w:pPr>
            <w:r w:rsidRPr="00836D3C">
              <w:rPr>
                <w:color w:val="000000" w:themeColor="text1"/>
                <w:sz w:val="18"/>
                <w:szCs w:val="18"/>
              </w:rPr>
              <w:t>20.2%</w:t>
            </w:r>
          </w:p>
        </w:tc>
        <w:tc>
          <w:tcPr>
            <w:tcW w:w="910" w:type="dxa"/>
            <w:tcBorders>
              <w:bottom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574</w:t>
            </w:r>
            <w:r w:rsidRPr="00836D3C">
              <w:rPr>
                <w:color w:val="000000" w:themeColor="text1"/>
                <w:sz w:val="18"/>
                <w:szCs w:val="18"/>
              </w:rPr>
              <w:t>/</w:t>
            </w:r>
          </w:p>
          <w:p w:rsidR="00FA05F9" w:rsidRPr="00836D3C" w:rsidRDefault="009B31E1" w:rsidP="00FA05F9">
            <w:pPr>
              <w:jc w:val="center"/>
              <w:rPr>
                <w:color w:val="000000" w:themeColor="text1"/>
                <w:sz w:val="18"/>
                <w:szCs w:val="18"/>
              </w:rPr>
            </w:pPr>
            <w:r>
              <w:rPr>
                <w:color w:val="000000" w:themeColor="text1"/>
                <w:sz w:val="18"/>
                <w:szCs w:val="18"/>
              </w:rPr>
              <w:t>20.8</w:t>
            </w:r>
            <w:r w:rsidRPr="00836D3C">
              <w:rPr>
                <w:color w:val="000000" w:themeColor="text1"/>
                <w:sz w:val="18"/>
                <w:szCs w:val="18"/>
              </w:rPr>
              <w:t>%</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21.9%</w:t>
            </w:r>
          </w:p>
        </w:tc>
      </w:tr>
      <w:tr w:rsidR="004744FE" w:rsidTr="00FA05F9">
        <w:trPr>
          <w:trHeight w:val="89"/>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 xml:space="preserve">Percentage of assessments completed during the year which took over 45 days </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FF0000"/>
            <w:noWrap/>
            <w:vAlign w:val="center"/>
          </w:tcPr>
          <w:p w:rsidR="00FA05F9" w:rsidRPr="00864B08" w:rsidRDefault="009B31E1" w:rsidP="00FA05F9">
            <w:pPr>
              <w:jc w:val="center"/>
              <w:rPr>
                <w:rFonts w:cs="Arial"/>
                <w:color w:val="FFFFFF" w:themeColor="background1"/>
                <w:sz w:val="18"/>
                <w:szCs w:val="18"/>
              </w:rPr>
            </w:pPr>
            <w:r w:rsidRPr="00864B08">
              <w:rPr>
                <w:color w:val="FFFFFF" w:themeColor="background1"/>
                <w:sz w:val="18"/>
                <w:szCs w:val="18"/>
              </w:rPr>
              <w:t>25.0%</w:t>
            </w:r>
          </w:p>
        </w:tc>
        <w:tc>
          <w:tcPr>
            <w:tcW w:w="910" w:type="dxa"/>
            <w:shd w:val="clear" w:color="auto" w:fill="FF0000"/>
            <w:vAlign w:val="center"/>
          </w:tcPr>
          <w:p w:rsidR="00FA05F9" w:rsidRPr="00864B08" w:rsidRDefault="009B31E1" w:rsidP="00FA05F9">
            <w:pPr>
              <w:jc w:val="center"/>
              <w:rPr>
                <w:color w:val="FFFFFF" w:themeColor="background1"/>
                <w:sz w:val="18"/>
                <w:szCs w:val="18"/>
              </w:rPr>
            </w:pPr>
            <w:r w:rsidRPr="00864B08">
              <w:rPr>
                <w:color w:val="FFFFFF" w:themeColor="background1"/>
                <w:sz w:val="18"/>
                <w:szCs w:val="18"/>
              </w:rPr>
              <w:t>26.6%</w:t>
            </w:r>
          </w:p>
        </w:tc>
        <w:tc>
          <w:tcPr>
            <w:tcW w:w="910" w:type="dxa"/>
            <w:shd w:val="clear" w:color="auto" w:fill="FF0000"/>
            <w:vAlign w:val="center"/>
          </w:tcPr>
          <w:p w:rsidR="00FA05F9" w:rsidRPr="00864B08" w:rsidRDefault="009B31E1" w:rsidP="00FA05F9">
            <w:pPr>
              <w:jc w:val="center"/>
              <w:rPr>
                <w:color w:val="FFFFFF" w:themeColor="background1"/>
                <w:sz w:val="18"/>
                <w:szCs w:val="18"/>
              </w:rPr>
            </w:pPr>
            <w:r w:rsidRPr="00864B08">
              <w:rPr>
                <w:rFonts w:cs="Arial"/>
                <w:color w:val="FFFFFF" w:themeColor="background1"/>
                <w:sz w:val="18"/>
                <w:szCs w:val="18"/>
              </w:rPr>
              <w:t>25.0%</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15.3%</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22.3%</w:t>
            </w:r>
          </w:p>
        </w:tc>
        <w:tc>
          <w:tcPr>
            <w:tcW w:w="9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15.4%</w:t>
            </w:r>
          </w:p>
        </w:tc>
        <w:tc>
          <w:tcPr>
            <w:tcW w:w="1151" w:type="dxa"/>
            <w:tcBorders>
              <w:top w:val="nil"/>
              <w:left w:val="nil"/>
              <w:bottom w:val="single" w:sz="8" w:space="0" w:color="auto"/>
              <w:right w:val="single" w:sz="8" w:space="0" w:color="auto"/>
            </w:tcBorders>
            <w:shd w:val="clear" w:color="000000" w:fill="FFFFFF"/>
            <w:vAlign w:val="center"/>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17.3%</w:t>
            </w:r>
          </w:p>
        </w:tc>
      </w:tr>
      <w:tr w:rsidR="004744FE" w:rsidTr="00FA05F9">
        <w:trPr>
          <w:trHeight w:val="82"/>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Number and rate (per 10k) of children with a Childre</w:t>
            </w:r>
            <w:r>
              <w:rPr>
                <w:rFonts w:cs="Arial"/>
                <w:color w:val="000000" w:themeColor="text1"/>
                <w:sz w:val="18"/>
                <w:szCs w:val="18"/>
              </w:rPr>
              <w:t>n in Need Plan (snapshot 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1,660/67.2</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1,754/</w:t>
            </w:r>
          </w:p>
          <w:p w:rsidR="00FA05F9" w:rsidRPr="00836D3C" w:rsidRDefault="009B31E1" w:rsidP="00FA05F9">
            <w:pPr>
              <w:jc w:val="center"/>
              <w:rPr>
                <w:color w:val="000000" w:themeColor="text1"/>
                <w:sz w:val="18"/>
                <w:szCs w:val="18"/>
              </w:rPr>
            </w:pPr>
            <w:r w:rsidRPr="00836D3C">
              <w:rPr>
                <w:color w:val="000000" w:themeColor="text1"/>
                <w:sz w:val="18"/>
                <w:szCs w:val="18"/>
              </w:rPr>
              <w:t>70.7</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1,720/</w:t>
            </w:r>
            <w:r w:rsidRPr="00836D3C">
              <w:rPr>
                <w:color w:val="000000" w:themeColor="text1"/>
                <w:sz w:val="18"/>
                <w:szCs w:val="18"/>
              </w:rPr>
              <w:br/>
              <w:t>69.4</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1,799/</w:t>
            </w:r>
            <w:r w:rsidRPr="00836D3C">
              <w:rPr>
                <w:color w:val="000000" w:themeColor="text1"/>
                <w:sz w:val="18"/>
                <w:szCs w:val="18"/>
              </w:rPr>
              <w:br/>
              <w:t>72.5</w:t>
            </w:r>
          </w:p>
        </w:tc>
        <w:tc>
          <w:tcPr>
            <w:tcW w:w="910" w:type="dxa"/>
            <w:shd w:val="clear" w:color="auto" w:fill="auto"/>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tcBorders>
              <w:top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1,79</w:t>
            </w:r>
            <w:r>
              <w:rPr>
                <w:color w:val="000000" w:themeColor="text1"/>
                <w:sz w:val="18"/>
                <w:szCs w:val="18"/>
              </w:rPr>
              <w:t>3</w:t>
            </w:r>
            <w:r w:rsidRPr="00836D3C">
              <w:rPr>
                <w:color w:val="000000" w:themeColor="text1"/>
                <w:sz w:val="18"/>
                <w:szCs w:val="18"/>
              </w:rPr>
              <w:t>/</w:t>
            </w:r>
            <w:r w:rsidRPr="00836D3C">
              <w:rPr>
                <w:color w:val="000000" w:themeColor="text1"/>
                <w:sz w:val="18"/>
                <w:szCs w:val="18"/>
              </w:rPr>
              <w:br/>
              <w:t>7</w:t>
            </w:r>
            <w:r>
              <w:rPr>
                <w:color w:val="000000" w:themeColor="text1"/>
                <w:sz w:val="18"/>
                <w:szCs w:val="18"/>
              </w:rPr>
              <w:t>1.9</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w:t>
            </w:r>
          </w:p>
        </w:tc>
      </w:tr>
      <w:tr w:rsidR="004744FE" w:rsidTr="00FA05F9">
        <w:trPr>
          <w:trHeight w:val="37"/>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 xml:space="preserve">Number and rate (per 10k) of children with a child protection plan (snapshot </w:t>
            </w:r>
            <w:r>
              <w:rPr>
                <w:rFonts w:cs="Arial"/>
                <w:color w:val="000000" w:themeColor="text1"/>
                <w:sz w:val="18"/>
                <w:szCs w:val="18"/>
              </w:rPr>
              <w:t>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F7CAAC" w:themeFill="accent2"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1,243/50.4</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1,351/</w:t>
            </w:r>
            <w:r w:rsidRPr="00836D3C">
              <w:rPr>
                <w:color w:val="000000" w:themeColor="text1"/>
                <w:sz w:val="18"/>
                <w:szCs w:val="18"/>
              </w:rPr>
              <w:br/>
              <w:t>54.5</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1,329/</w:t>
            </w:r>
          </w:p>
          <w:p w:rsidR="00FA05F9" w:rsidRPr="00836D3C" w:rsidRDefault="009B31E1" w:rsidP="00FA05F9">
            <w:pPr>
              <w:jc w:val="center"/>
              <w:rPr>
                <w:color w:val="000000" w:themeColor="text1"/>
                <w:sz w:val="18"/>
                <w:szCs w:val="18"/>
              </w:rPr>
            </w:pPr>
            <w:r w:rsidRPr="00836D3C">
              <w:rPr>
                <w:color w:val="000000" w:themeColor="text1"/>
                <w:sz w:val="18"/>
                <w:szCs w:val="18"/>
              </w:rPr>
              <w:t>53.6</w:t>
            </w:r>
          </w:p>
        </w:tc>
        <w:tc>
          <w:tcPr>
            <w:tcW w:w="910" w:type="dxa"/>
            <w:shd w:val="clear" w:color="auto" w:fill="FF0000"/>
            <w:vAlign w:val="center"/>
          </w:tcPr>
          <w:p w:rsidR="00FA05F9" w:rsidRPr="00864B08" w:rsidRDefault="009B31E1" w:rsidP="00FA05F9">
            <w:pPr>
              <w:jc w:val="center"/>
              <w:rPr>
                <w:color w:val="FFFFFF" w:themeColor="background1"/>
                <w:sz w:val="18"/>
                <w:szCs w:val="18"/>
              </w:rPr>
            </w:pPr>
            <w:r w:rsidRPr="00864B08">
              <w:rPr>
                <w:color w:val="FFFFFF" w:themeColor="background1"/>
                <w:sz w:val="18"/>
                <w:szCs w:val="18"/>
              </w:rPr>
              <w:t>1,382/</w:t>
            </w:r>
          </w:p>
          <w:p w:rsidR="00FA05F9" w:rsidRPr="00836D3C" w:rsidRDefault="009B31E1" w:rsidP="00FA05F9">
            <w:pPr>
              <w:jc w:val="center"/>
              <w:rPr>
                <w:color w:val="000000" w:themeColor="text1"/>
                <w:sz w:val="18"/>
                <w:szCs w:val="18"/>
              </w:rPr>
            </w:pPr>
            <w:r w:rsidRPr="00864B08">
              <w:rPr>
                <w:color w:val="FFFFFF" w:themeColor="background1"/>
                <w:sz w:val="18"/>
                <w:szCs w:val="18"/>
              </w:rPr>
              <w:t>55.8</w:t>
            </w:r>
          </w:p>
        </w:tc>
        <w:tc>
          <w:tcPr>
            <w:tcW w:w="910" w:type="dxa"/>
            <w:shd w:val="clear" w:color="auto" w:fill="auto"/>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shd w:val="clear" w:color="auto" w:fill="FF0000"/>
            <w:vAlign w:val="center"/>
          </w:tcPr>
          <w:p w:rsidR="00FA05F9" w:rsidRPr="00836D3C" w:rsidRDefault="009B31E1" w:rsidP="00FA05F9">
            <w:pPr>
              <w:jc w:val="center"/>
              <w:rPr>
                <w:color w:val="000000" w:themeColor="text1"/>
                <w:sz w:val="18"/>
                <w:szCs w:val="18"/>
              </w:rPr>
            </w:pPr>
            <w:r w:rsidRPr="001368FF">
              <w:rPr>
                <w:color w:val="FFFFFF" w:themeColor="background1"/>
                <w:sz w:val="18"/>
                <w:szCs w:val="18"/>
              </w:rPr>
              <w:t>1,412/ 57.0</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45.3</w:t>
            </w:r>
          </w:p>
        </w:tc>
      </w:tr>
      <w:tr w:rsidR="004744FE" w:rsidTr="00FA05F9">
        <w:trPr>
          <w:trHeight w:val="249"/>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 xml:space="preserve">Percentage of children with a repeat child protection plan over </w:t>
            </w:r>
            <w:r>
              <w:rPr>
                <w:rFonts w:cs="Arial"/>
                <w:color w:val="000000" w:themeColor="text1"/>
                <w:sz w:val="18"/>
                <w:szCs w:val="18"/>
              </w:rPr>
              <w:t>last 12 months (snapshot 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6.2%</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6.0%</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6.7%</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7.5%</w:t>
            </w:r>
          </w:p>
        </w:tc>
        <w:tc>
          <w:tcPr>
            <w:tcW w:w="910" w:type="dxa"/>
            <w:shd w:val="clear" w:color="auto" w:fill="FFFFFF" w:themeFill="background1"/>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tcBorders>
              <w:bottom w:val="single" w:sz="4" w:space="0" w:color="auto"/>
            </w:tcBorders>
            <w:shd w:val="clear" w:color="auto" w:fill="F4B083" w:themeFill="accent2" w:themeFillTint="99"/>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7.5%</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w:t>
            </w:r>
          </w:p>
        </w:tc>
      </w:tr>
      <w:tr w:rsidR="004744FE" w:rsidTr="00FA05F9">
        <w:trPr>
          <w:trHeight w:val="37"/>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Rate of Children Looked After (CLA) num</w:t>
            </w:r>
            <w:r>
              <w:rPr>
                <w:rFonts w:cs="Arial"/>
                <w:color w:val="000000" w:themeColor="text1"/>
                <w:sz w:val="18"/>
                <w:szCs w:val="18"/>
              </w:rPr>
              <w:t>ber/per 10,000 (snapshot 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FF0000"/>
            <w:noWrap/>
            <w:vAlign w:val="center"/>
          </w:tcPr>
          <w:p w:rsidR="00FA05F9" w:rsidRPr="00915E73" w:rsidRDefault="009B31E1" w:rsidP="00FA05F9">
            <w:pPr>
              <w:jc w:val="center"/>
              <w:rPr>
                <w:rFonts w:cs="Arial"/>
                <w:color w:val="FFFFFF" w:themeColor="background1"/>
                <w:sz w:val="18"/>
                <w:szCs w:val="18"/>
              </w:rPr>
            </w:pPr>
            <w:r w:rsidRPr="00915E73">
              <w:rPr>
                <w:color w:val="FFFFFF" w:themeColor="background1"/>
                <w:sz w:val="18"/>
                <w:szCs w:val="18"/>
              </w:rPr>
              <w:t>1,968/79.7</w:t>
            </w:r>
          </w:p>
        </w:tc>
        <w:tc>
          <w:tcPr>
            <w:tcW w:w="910" w:type="dxa"/>
            <w:shd w:val="clear" w:color="auto" w:fill="FF0000"/>
            <w:vAlign w:val="center"/>
          </w:tcPr>
          <w:p w:rsidR="00FA05F9" w:rsidRPr="00915E73" w:rsidRDefault="009B31E1" w:rsidP="00FA05F9">
            <w:pPr>
              <w:jc w:val="center"/>
              <w:rPr>
                <w:color w:val="FFFFFF" w:themeColor="background1"/>
                <w:sz w:val="18"/>
                <w:szCs w:val="18"/>
              </w:rPr>
            </w:pPr>
            <w:r w:rsidRPr="00915E73">
              <w:rPr>
                <w:color w:val="FFFFFF" w:themeColor="background1"/>
                <w:sz w:val="18"/>
                <w:szCs w:val="18"/>
              </w:rPr>
              <w:t>2,053/</w:t>
            </w:r>
          </w:p>
          <w:p w:rsidR="00FA05F9" w:rsidRPr="00915E73" w:rsidRDefault="009B31E1" w:rsidP="00FA05F9">
            <w:pPr>
              <w:jc w:val="center"/>
              <w:rPr>
                <w:rFonts w:cs="Arial"/>
                <w:color w:val="FFFFFF" w:themeColor="background1"/>
                <w:sz w:val="18"/>
                <w:szCs w:val="18"/>
              </w:rPr>
            </w:pPr>
            <w:r w:rsidRPr="00915E73">
              <w:rPr>
                <w:color w:val="FFFFFF" w:themeColor="background1"/>
                <w:sz w:val="18"/>
                <w:szCs w:val="18"/>
              </w:rPr>
              <w:t>82.8</w:t>
            </w:r>
          </w:p>
        </w:tc>
        <w:tc>
          <w:tcPr>
            <w:tcW w:w="910" w:type="dxa"/>
            <w:shd w:val="clear" w:color="auto" w:fill="FF0000"/>
            <w:vAlign w:val="center"/>
          </w:tcPr>
          <w:p w:rsidR="00FA05F9" w:rsidRPr="00915E73" w:rsidRDefault="009B31E1" w:rsidP="00FA05F9">
            <w:pPr>
              <w:jc w:val="center"/>
              <w:rPr>
                <w:rFonts w:cs="Arial"/>
                <w:color w:val="FFFFFF" w:themeColor="background1"/>
                <w:sz w:val="18"/>
                <w:szCs w:val="18"/>
              </w:rPr>
            </w:pPr>
            <w:r w:rsidRPr="00915E73">
              <w:rPr>
                <w:rFonts w:cs="Arial"/>
                <w:color w:val="FFFFFF" w:themeColor="background1"/>
                <w:sz w:val="18"/>
                <w:szCs w:val="18"/>
              </w:rPr>
              <w:t>2,083/</w:t>
            </w:r>
          </w:p>
          <w:p w:rsidR="00FA05F9" w:rsidRPr="00915E73" w:rsidRDefault="009B31E1" w:rsidP="00FA05F9">
            <w:pPr>
              <w:jc w:val="center"/>
              <w:rPr>
                <w:color w:val="FFFFFF" w:themeColor="background1"/>
                <w:sz w:val="18"/>
                <w:szCs w:val="18"/>
              </w:rPr>
            </w:pPr>
            <w:r w:rsidRPr="00915E73">
              <w:rPr>
                <w:rFonts w:cs="Arial"/>
                <w:color w:val="FFFFFF" w:themeColor="background1"/>
                <w:sz w:val="18"/>
                <w:szCs w:val="18"/>
              </w:rPr>
              <w:t>84.0</w:t>
            </w:r>
          </w:p>
        </w:tc>
        <w:tc>
          <w:tcPr>
            <w:tcW w:w="910" w:type="dxa"/>
            <w:shd w:val="clear" w:color="auto" w:fill="FF0000"/>
            <w:vAlign w:val="center"/>
          </w:tcPr>
          <w:p w:rsidR="00FA05F9" w:rsidRPr="00915E73" w:rsidRDefault="009B31E1" w:rsidP="00FA05F9">
            <w:pPr>
              <w:jc w:val="center"/>
              <w:rPr>
                <w:rFonts w:cs="Arial"/>
                <w:color w:val="FFFFFF" w:themeColor="background1"/>
                <w:sz w:val="18"/>
                <w:szCs w:val="18"/>
              </w:rPr>
            </w:pPr>
            <w:r w:rsidRPr="00915E73">
              <w:rPr>
                <w:rFonts w:cs="Arial"/>
                <w:color w:val="FFFFFF" w:themeColor="background1"/>
                <w:sz w:val="18"/>
                <w:szCs w:val="18"/>
              </w:rPr>
              <w:t>2,128/</w:t>
            </w:r>
          </w:p>
          <w:p w:rsidR="00FA05F9" w:rsidRPr="00915E73" w:rsidRDefault="009B31E1" w:rsidP="00FA05F9">
            <w:pPr>
              <w:jc w:val="center"/>
              <w:rPr>
                <w:color w:val="FFFFFF" w:themeColor="background1"/>
                <w:sz w:val="18"/>
                <w:szCs w:val="18"/>
              </w:rPr>
            </w:pPr>
            <w:r w:rsidRPr="00915E73">
              <w:rPr>
                <w:rFonts w:cs="Arial"/>
                <w:color w:val="FFFFFF" w:themeColor="background1"/>
                <w:sz w:val="18"/>
                <w:szCs w:val="18"/>
              </w:rPr>
              <w:t>85.9</w:t>
            </w:r>
          </w:p>
        </w:tc>
        <w:tc>
          <w:tcPr>
            <w:tcW w:w="910" w:type="dxa"/>
            <w:shd w:val="clear" w:color="auto" w:fill="FFFFFF" w:themeFill="background1"/>
            <w:vAlign w:val="center"/>
          </w:tcPr>
          <w:p w:rsidR="00FA05F9" w:rsidRPr="00836D3C" w:rsidRDefault="009B31E1" w:rsidP="00FA05F9">
            <w:pPr>
              <w:jc w:val="center"/>
              <w:rPr>
                <w:rFonts w:cs="Arial"/>
                <w:color w:val="000000" w:themeColor="text1"/>
                <w:sz w:val="18"/>
                <w:szCs w:val="18"/>
              </w:rPr>
            </w:pPr>
            <w:r>
              <w:rPr>
                <w:rFonts w:cs="Arial"/>
                <w:color w:val="000000" w:themeColor="text1"/>
                <w:sz w:val="18"/>
                <w:szCs w:val="18"/>
              </w:rPr>
              <w:t>-</w:t>
            </w:r>
          </w:p>
        </w:tc>
        <w:tc>
          <w:tcPr>
            <w:tcW w:w="910" w:type="dxa"/>
            <w:tcBorders>
              <w:top w:val="single" w:sz="4" w:space="0" w:color="auto"/>
              <w:left w:val="single" w:sz="4" w:space="0" w:color="auto"/>
              <w:bottom w:val="single" w:sz="4" w:space="0" w:color="auto"/>
              <w:right w:val="single" w:sz="4" w:space="0" w:color="auto"/>
            </w:tcBorders>
            <w:shd w:val="clear" w:color="auto" w:fill="FF0000"/>
            <w:vAlign w:val="center"/>
          </w:tcPr>
          <w:p w:rsidR="00FA05F9" w:rsidRPr="001368FF" w:rsidRDefault="009B31E1" w:rsidP="00FA05F9">
            <w:pPr>
              <w:jc w:val="center"/>
              <w:rPr>
                <w:rFonts w:cs="Arial"/>
                <w:color w:val="FFFFFF" w:themeColor="background1"/>
                <w:sz w:val="18"/>
                <w:szCs w:val="18"/>
              </w:rPr>
            </w:pPr>
            <w:r w:rsidRPr="001368FF">
              <w:rPr>
                <w:rFonts w:cs="Arial"/>
                <w:color w:val="FFFFFF" w:themeColor="background1"/>
                <w:sz w:val="18"/>
                <w:szCs w:val="18"/>
              </w:rPr>
              <w:t>2,096/</w:t>
            </w:r>
          </w:p>
          <w:p w:rsidR="00FA05F9" w:rsidRPr="00836D3C" w:rsidRDefault="009B31E1" w:rsidP="00FA05F9">
            <w:pPr>
              <w:jc w:val="center"/>
              <w:rPr>
                <w:color w:val="000000" w:themeColor="text1"/>
                <w:sz w:val="18"/>
                <w:szCs w:val="18"/>
              </w:rPr>
            </w:pPr>
            <w:r w:rsidRPr="001368FF">
              <w:rPr>
                <w:rFonts w:cs="Arial"/>
                <w:color w:val="FFFFFF" w:themeColor="background1"/>
                <w:sz w:val="18"/>
                <w:szCs w:val="18"/>
              </w:rPr>
              <w:t>84.6</w:t>
            </w:r>
          </w:p>
        </w:tc>
        <w:tc>
          <w:tcPr>
            <w:tcW w:w="1151" w:type="dxa"/>
            <w:tcBorders>
              <w:top w:val="nil"/>
              <w:left w:val="nil"/>
              <w:bottom w:val="single" w:sz="8" w:space="0" w:color="auto"/>
              <w:right w:val="single" w:sz="8" w:space="0" w:color="auto"/>
            </w:tcBorders>
            <w:shd w:val="clear" w:color="000000"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64.0</w:t>
            </w:r>
          </w:p>
        </w:tc>
      </w:tr>
      <w:tr w:rsidR="004744FE" w:rsidTr="00FA05F9">
        <w:trPr>
          <w:trHeight w:val="71"/>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lastRenderedPageBreak/>
              <w:t xml:space="preserve">Percentage of CLA in 3 or more placements over </w:t>
            </w:r>
            <w:r>
              <w:rPr>
                <w:rFonts w:cs="Arial"/>
                <w:color w:val="000000" w:themeColor="text1"/>
                <w:sz w:val="18"/>
                <w:szCs w:val="18"/>
              </w:rPr>
              <w:t>last 12 months (snapshot 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7.9%</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9.8%</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9.2%</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8.8%</w:t>
            </w:r>
          </w:p>
        </w:tc>
        <w:tc>
          <w:tcPr>
            <w:tcW w:w="910" w:type="dxa"/>
            <w:shd w:val="clear" w:color="auto" w:fill="FFFFFF" w:themeFill="background1"/>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tcBorders>
              <w:top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8.4%</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10%</w:t>
            </w:r>
          </w:p>
        </w:tc>
      </w:tr>
      <w:tr w:rsidR="004744FE" w:rsidTr="00FA05F9">
        <w:trPr>
          <w:trHeight w:val="113"/>
        </w:trPr>
        <w:tc>
          <w:tcPr>
            <w:tcW w:w="1670" w:type="dxa"/>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Percentage of staff on Assessed and Supported Year in Emp</w:t>
            </w:r>
            <w:r>
              <w:rPr>
                <w:rFonts w:cs="Arial"/>
                <w:color w:val="000000" w:themeColor="text1"/>
                <w:sz w:val="18"/>
                <w:szCs w:val="18"/>
              </w:rPr>
              <w:t>loyment (ASYE) (snapshot at period end</w:t>
            </w:r>
            <w:r w:rsidRPr="00836D3C">
              <w:rPr>
                <w:rFonts w:cs="Arial"/>
                <w:color w:val="000000" w:themeColor="text1"/>
                <w:sz w:val="18"/>
                <w:szCs w:val="18"/>
              </w:rPr>
              <w:t>)</w:t>
            </w:r>
          </w:p>
        </w:tc>
        <w:tc>
          <w:tcPr>
            <w:tcW w:w="732" w:type="dxa"/>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shd w:val="clear" w:color="auto" w:fill="C5E0B3" w:themeFill="accent6"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27.2%</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29%</w:t>
            </w:r>
          </w:p>
        </w:tc>
        <w:tc>
          <w:tcPr>
            <w:tcW w:w="910" w:type="dxa"/>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30.5%</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27.9%</w:t>
            </w:r>
          </w:p>
        </w:tc>
        <w:tc>
          <w:tcPr>
            <w:tcW w:w="910" w:type="dxa"/>
            <w:shd w:val="clear" w:color="auto" w:fill="FFFFFF" w:themeFill="background1"/>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27.0%</w:t>
            </w:r>
          </w:p>
        </w:tc>
        <w:tc>
          <w:tcPr>
            <w:tcW w:w="1151" w:type="dxa"/>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w:t>
            </w:r>
          </w:p>
        </w:tc>
      </w:tr>
      <w:tr w:rsidR="004744FE" w:rsidTr="00FA05F9">
        <w:trPr>
          <w:trHeight w:val="106"/>
        </w:trPr>
        <w:tc>
          <w:tcPr>
            <w:tcW w:w="1670" w:type="dxa"/>
            <w:tcBorders>
              <w:bottom w:val="single" w:sz="4" w:space="0" w:color="auto"/>
            </w:tcBorders>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Percentage of staff who are experienced social work</w:t>
            </w:r>
            <w:r>
              <w:rPr>
                <w:rFonts w:cs="Arial"/>
                <w:color w:val="000000" w:themeColor="text1"/>
                <w:sz w:val="18"/>
                <w:szCs w:val="18"/>
              </w:rPr>
              <w:t>ers (3+ years) (snapshot at period end</w:t>
            </w:r>
            <w:r w:rsidRPr="00836D3C">
              <w:rPr>
                <w:rFonts w:cs="Arial"/>
                <w:color w:val="000000" w:themeColor="text1"/>
                <w:sz w:val="18"/>
                <w:szCs w:val="18"/>
              </w:rPr>
              <w:t>)</w:t>
            </w:r>
          </w:p>
        </w:tc>
        <w:tc>
          <w:tcPr>
            <w:tcW w:w="732" w:type="dxa"/>
            <w:tcBorders>
              <w:bottom w:val="single" w:sz="4" w:space="0" w:color="auto"/>
            </w:tcBorders>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H</w:t>
            </w:r>
          </w:p>
        </w:tc>
        <w:tc>
          <w:tcPr>
            <w:tcW w:w="1106" w:type="dxa"/>
            <w:tcBorders>
              <w:bottom w:val="single" w:sz="4" w:space="0" w:color="auto"/>
            </w:tcBorders>
            <w:shd w:val="clear" w:color="auto" w:fill="F7CAAC" w:themeFill="accent2"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26.0%</w:t>
            </w:r>
          </w:p>
        </w:tc>
        <w:tc>
          <w:tcPr>
            <w:tcW w:w="910" w:type="dxa"/>
            <w:tcBorders>
              <w:bottom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30.0%</w:t>
            </w:r>
          </w:p>
        </w:tc>
        <w:tc>
          <w:tcPr>
            <w:tcW w:w="910" w:type="dxa"/>
            <w:tcBorders>
              <w:bottom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35.9%</w:t>
            </w:r>
          </w:p>
        </w:tc>
        <w:tc>
          <w:tcPr>
            <w:tcW w:w="910" w:type="dxa"/>
            <w:tcBorders>
              <w:bottom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33.7%</w:t>
            </w:r>
          </w:p>
        </w:tc>
        <w:tc>
          <w:tcPr>
            <w:tcW w:w="910" w:type="dxa"/>
            <w:tcBorders>
              <w:bottom w:val="single" w:sz="4" w:space="0" w:color="auto"/>
            </w:tcBorders>
            <w:shd w:val="clear" w:color="auto" w:fill="FFFFFF" w:themeFill="background1"/>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tcBorders>
              <w:bottom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37.9%</w:t>
            </w:r>
          </w:p>
        </w:tc>
        <w:tc>
          <w:tcPr>
            <w:tcW w:w="1151" w:type="dxa"/>
            <w:tcBorders>
              <w:bottom w:val="single" w:sz="4" w:space="0" w:color="auto"/>
            </w:tcBorders>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w:t>
            </w:r>
          </w:p>
        </w:tc>
      </w:tr>
      <w:tr w:rsidR="004744FE" w:rsidTr="00FA05F9">
        <w:trPr>
          <w:trHeight w:val="149"/>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836D3C" w:rsidRDefault="009B31E1" w:rsidP="00FA05F9">
            <w:pPr>
              <w:rPr>
                <w:rFonts w:cs="Arial"/>
                <w:color w:val="000000" w:themeColor="text1"/>
                <w:sz w:val="18"/>
                <w:szCs w:val="18"/>
              </w:rPr>
            </w:pPr>
            <w:r w:rsidRPr="00836D3C">
              <w:rPr>
                <w:rFonts w:cs="Arial"/>
                <w:color w:val="000000" w:themeColor="text1"/>
                <w:sz w:val="18"/>
                <w:szCs w:val="18"/>
              </w:rPr>
              <w:t>Average caseload per</w:t>
            </w:r>
            <w:r>
              <w:rPr>
                <w:rFonts w:cs="Arial"/>
                <w:color w:val="000000" w:themeColor="text1"/>
                <w:sz w:val="18"/>
                <w:szCs w:val="18"/>
              </w:rPr>
              <w:t xml:space="preserve"> social worker (snapshot at period end</w:t>
            </w:r>
            <w:r w:rsidRPr="00836D3C">
              <w:rPr>
                <w:rFonts w:cs="Arial"/>
                <w:color w:val="000000" w:themeColor="text1"/>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836D3C" w:rsidRDefault="009B31E1" w:rsidP="00FA05F9">
            <w:pPr>
              <w:jc w:val="center"/>
              <w:rPr>
                <w:rFonts w:cs="Arial"/>
                <w:color w:val="000000" w:themeColor="text1"/>
                <w:sz w:val="18"/>
                <w:szCs w:val="18"/>
              </w:rPr>
            </w:pPr>
            <w:r w:rsidRPr="00836D3C">
              <w:rPr>
                <w:rFonts w:cs="Arial"/>
                <w:color w:val="000000" w:themeColor="text1"/>
                <w:sz w:val="18"/>
                <w:szCs w:val="18"/>
              </w:rPr>
              <w:t>L</w:t>
            </w:r>
          </w:p>
        </w:tc>
        <w:tc>
          <w:tcPr>
            <w:tcW w:w="1106"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22.0</w:t>
            </w:r>
          </w:p>
        </w:tc>
        <w:tc>
          <w:tcPr>
            <w:tcW w:w="9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20.0</w:t>
            </w:r>
          </w:p>
        </w:tc>
        <w:tc>
          <w:tcPr>
            <w:tcW w:w="9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19.8</w:t>
            </w:r>
          </w:p>
        </w:tc>
        <w:tc>
          <w:tcPr>
            <w:tcW w:w="9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A05F9" w:rsidRPr="00836D3C" w:rsidRDefault="009B31E1" w:rsidP="00FA05F9">
            <w:pPr>
              <w:jc w:val="center"/>
              <w:rPr>
                <w:color w:val="000000" w:themeColor="text1"/>
                <w:sz w:val="18"/>
                <w:szCs w:val="18"/>
              </w:rPr>
            </w:pPr>
            <w:r w:rsidRPr="00836D3C">
              <w:rPr>
                <w:color w:val="000000" w:themeColor="text1"/>
                <w:sz w:val="18"/>
                <w:szCs w:val="18"/>
              </w:rPr>
              <w:t>22.3</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5F9" w:rsidRPr="00836D3C" w:rsidRDefault="009B31E1" w:rsidP="00FA05F9">
            <w:pPr>
              <w:jc w:val="center"/>
              <w:rPr>
                <w:color w:val="000000" w:themeColor="text1"/>
                <w:sz w:val="18"/>
                <w:szCs w:val="18"/>
              </w:rPr>
            </w:pPr>
            <w:r>
              <w:rPr>
                <w:color w:val="000000" w:themeColor="text1"/>
                <w:sz w:val="18"/>
                <w:szCs w:val="18"/>
              </w:rPr>
              <w:t>-</w:t>
            </w:r>
          </w:p>
        </w:tc>
        <w:tc>
          <w:tcPr>
            <w:tcW w:w="9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A05F9" w:rsidRPr="00836D3C" w:rsidRDefault="009B31E1" w:rsidP="00FA05F9">
            <w:pPr>
              <w:jc w:val="center"/>
              <w:rPr>
                <w:color w:val="000000" w:themeColor="text1"/>
                <w:sz w:val="18"/>
                <w:szCs w:val="18"/>
              </w:rPr>
            </w:pPr>
            <w:r>
              <w:rPr>
                <w:color w:val="000000" w:themeColor="text1"/>
                <w:sz w:val="18"/>
                <w:szCs w:val="18"/>
              </w:rPr>
              <w:t>19.9</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FA05F9" w:rsidRPr="00836D3C" w:rsidRDefault="009B31E1" w:rsidP="00FA05F9">
            <w:pPr>
              <w:jc w:val="center"/>
              <w:rPr>
                <w:rFonts w:cs="Arial"/>
                <w:color w:val="000000" w:themeColor="text1"/>
                <w:sz w:val="18"/>
                <w:szCs w:val="18"/>
              </w:rPr>
            </w:pPr>
            <w:r w:rsidRPr="00836D3C">
              <w:rPr>
                <w:color w:val="000000" w:themeColor="text1"/>
                <w:sz w:val="18"/>
                <w:szCs w:val="18"/>
              </w:rPr>
              <w:t>-</w:t>
            </w:r>
          </w:p>
        </w:tc>
      </w:tr>
    </w:tbl>
    <w:p w:rsidR="00FA05F9" w:rsidRDefault="00FA05F9" w:rsidP="00FA05F9">
      <w:pPr>
        <w:pStyle w:val="NoSpacing"/>
        <w:rPr>
          <w:rFonts w:eastAsiaTheme="minorHAnsi"/>
          <w:lang w:eastAsia="en-US"/>
        </w:rPr>
      </w:pPr>
    </w:p>
    <w:p w:rsidR="00FA05F9" w:rsidRPr="00571FB2" w:rsidRDefault="009B31E1" w:rsidP="00FA05F9">
      <w:pPr>
        <w:pStyle w:val="NoSpacing"/>
        <w:jc w:val="both"/>
        <w:rPr>
          <w:rFonts w:ascii="Arial" w:eastAsiaTheme="minorEastAsia" w:hAnsi="Arial" w:cs="Arial"/>
          <w:color w:val="000000" w:themeColor="text1"/>
          <w:sz w:val="24"/>
          <w:szCs w:val="24"/>
        </w:rPr>
      </w:pPr>
      <w:r w:rsidRPr="00571FB2">
        <w:rPr>
          <w:rFonts w:ascii="Arial" w:eastAsiaTheme="minorEastAsia" w:hAnsi="Arial" w:cs="Arial"/>
          <w:color w:val="000000" w:themeColor="text1"/>
          <w:sz w:val="24"/>
          <w:szCs w:val="24"/>
        </w:rPr>
        <w:t xml:space="preserve">During </w:t>
      </w:r>
      <w:r>
        <w:rPr>
          <w:rFonts w:ascii="Arial" w:eastAsiaTheme="minorEastAsia" w:hAnsi="Arial" w:cs="Arial"/>
          <w:color w:val="000000" w:themeColor="text1"/>
          <w:sz w:val="24"/>
          <w:szCs w:val="24"/>
        </w:rPr>
        <w:t>quarter 1 201</w:t>
      </w:r>
      <w:r w:rsidRPr="00571FB2">
        <w:rPr>
          <w:rFonts w:ascii="Arial" w:eastAsiaTheme="minorEastAsia" w:hAnsi="Arial" w:cs="Arial"/>
          <w:color w:val="000000" w:themeColor="text1"/>
          <w:sz w:val="24"/>
          <w:szCs w:val="24"/>
        </w:rPr>
        <w:t>9/20, the referral rate (111.2 per 10,000) reduced when comparing to the previous quarter (129.0), with the re-referral rate (20.8%) remaining stable and still below the England average (21.9%).</w:t>
      </w:r>
    </w:p>
    <w:p w:rsidR="00FA05F9" w:rsidRPr="00571FB2" w:rsidRDefault="00FA05F9" w:rsidP="00FA05F9">
      <w:pPr>
        <w:pStyle w:val="NoSpacing"/>
        <w:jc w:val="both"/>
        <w:rPr>
          <w:rFonts w:ascii="Arial" w:eastAsiaTheme="minorEastAsia" w:hAnsi="Arial" w:cs="Arial"/>
          <w:color w:val="000000" w:themeColor="text1"/>
          <w:sz w:val="24"/>
          <w:szCs w:val="24"/>
        </w:rPr>
      </w:pPr>
    </w:p>
    <w:p w:rsidR="00FA05F9" w:rsidRDefault="009B31E1" w:rsidP="00FA05F9">
      <w:pPr>
        <w:pStyle w:val="NoSpacing"/>
        <w:jc w:val="both"/>
        <w:rPr>
          <w:rFonts w:ascii="Arial" w:eastAsiaTheme="minorEastAsia" w:hAnsi="Arial" w:cs="Arial"/>
          <w:color w:val="000000" w:themeColor="text1"/>
          <w:sz w:val="24"/>
          <w:szCs w:val="24"/>
        </w:rPr>
      </w:pPr>
      <w:r w:rsidRPr="00571FB2">
        <w:rPr>
          <w:rFonts w:ascii="Arial" w:eastAsiaTheme="minorEastAsia" w:hAnsi="Arial" w:cs="Arial"/>
          <w:color w:val="000000" w:themeColor="text1"/>
          <w:sz w:val="24"/>
          <w:szCs w:val="24"/>
        </w:rPr>
        <w:t>The latest rate of children with child protection plans (57.0 per 10,000) and the looked after children rate (84.6) remains significantly higher than the comparators. The latest chi</w:t>
      </w:r>
      <w:r>
        <w:rPr>
          <w:rFonts w:ascii="Arial" w:eastAsiaTheme="minorEastAsia" w:hAnsi="Arial" w:cs="Arial"/>
          <w:color w:val="000000" w:themeColor="text1"/>
          <w:sz w:val="24"/>
          <w:szCs w:val="24"/>
        </w:rPr>
        <w:t>ld protection plan rate is</w:t>
      </w:r>
      <w:r w:rsidRPr="00571FB2">
        <w:rPr>
          <w:rFonts w:ascii="Arial" w:eastAsiaTheme="minorEastAsia" w:hAnsi="Arial" w:cs="Arial"/>
          <w:color w:val="000000" w:themeColor="text1"/>
          <w:sz w:val="24"/>
          <w:szCs w:val="24"/>
        </w:rPr>
        <w:t xml:space="preserve"> the highest </w:t>
      </w:r>
      <w:r>
        <w:rPr>
          <w:rFonts w:ascii="Arial" w:eastAsiaTheme="minorEastAsia" w:hAnsi="Arial" w:cs="Arial"/>
          <w:color w:val="000000" w:themeColor="text1"/>
          <w:sz w:val="24"/>
          <w:szCs w:val="24"/>
        </w:rPr>
        <w:t xml:space="preserve">it's been since February 2017 when it was </w:t>
      </w:r>
      <w:r w:rsidRPr="00571FB2">
        <w:rPr>
          <w:rFonts w:ascii="Arial" w:eastAsiaTheme="minorEastAsia" w:hAnsi="Arial" w:cs="Arial"/>
          <w:color w:val="000000" w:themeColor="text1"/>
          <w:sz w:val="24"/>
          <w:szCs w:val="24"/>
        </w:rPr>
        <w:t>61.9</w:t>
      </w:r>
      <w:r>
        <w:rPr>
          <w:rFonts w:ascii="Arial" w:eastAsiaTheme="minorEastAsia" w:hAnsi="Arial" w:cs="Arial"/>
          <w:color w:val="000000" w:themeColor="text1"/>
          <w:sz w:val="24"/>
          <w:szCs w:val="24"/>
        </w:rPr>
        <w:t xml:space="preserve"> per 10,000</w:t>
      </w:r>
      <w:r w:rsidRPr="00571FB2">
        <w:rPr>
          <w:rFonts w:ascii="Arial" w:eastAsiaTheme="minorEastAsia" w:hAnsi="Arial" w:cs="Arial"/>
          <w:color w:val="000000" w:themeColor="text1"/>
          <w:sz w:val="24"/>
          <w:szCs w:val="24"/>
        </w:rPr>
        <w:t>.</w:t>
      </w:r>
    </w:p>
    <w:p w:rsidR="00FA05F9" w:rsidRDefault="00FA05F9" w:rsidP="00FA05F9">
      <w:pPr>
        <w:pStyle w:val="NoSpacing"/>
        <w:jc w:val="both"/>
        <w:rPr>
          <w:rFonts w:ascii="Arial" w:eastAsiaTheme="minorEastAsia" w:hAnsi="Arial" w:cs="Arial"/>
          <w:color w:val="000000" w:themeColor="text1"/>
          <w:sz w:val="24"/>
          <w:szCs w:val="24"/>
        </w:rPr>
      </w:pPr>
    </w:p>
    <w:p w:rsidR="00FA05F9" w:rsidRDefault="009B31E1" w:rsidP="00FA05F9">
      <w:pPr>
        <w:pStyle w:val="NoSpacing"/>
        <w:jc w:val="both"/>
        <w:rPr>
          <w:rFonts w:ascii="Arial" w:hAnsi="Arial" w:cs="Arial"/>
          <w:color w:val="000000"/>
          <w:sz w:val="24"/>
          <w:szCs w:val="24"/>
        </w:rPr>
      </w:pPr>
      <w:r>
        <w:rPr>
          <w:rFonts w:ascii="Arial" w:hAnsi="Arial" w:cs="Arial"/>
          <w:color w:val="000000"/>
          <w:sz w:val="24"/>
          <w:szCs w:val="24"/>
        </w:rPr>
        <w:t>The bid to the D</w:t>
      </w:r>
      <w:r w:rsidR="00FA05F9">
        <w:rPr>
          <w:rFonts w:ascii="Arial" w:hAnsi="Arial" w:cs="Arial"/>
          <w:color w:val="000000"/>
          <w:sz w:val="24"/>
          <w:szCs w:val="24"/>
        </w:rPr>
        <w:t>epartment for Education</w:t>
      </w:r>
      <w:r>
        <w:rPr>
          <w:rFonts w:ascii="Arial" w:hAnsi="Arial" w:cs="Arial"/>
          <w:color w:val="000000"/>
          <w:sz w:val="24"/>
          <w:szCs w:val="24"/>
        </w:rPr>
        <w:t xml:space="preserve"> to support our move to a family safeguarding model is predicted to address the issue high levels of children in care and </w:t>
      </w:r>
      <w:r w:rsidR="00FA05F9">
        <w:rPr>
          <w:rFonts w:ascii="Arial" w:hAnsi="Arial" w:cs="Arial"/>
          <w:color w:val="000000"/>
          <w:sz w:val="24"/>
          <w:szCs w:val="24"/>
        </w:rPr>
        <w:t xml:space="preserve">those </w:t>
      </w:r>
      <w:r>
        <w:rPr>
          <w:rFonts w:ascii="Arial" w:hAnsi="Arial" w:cs="Arial"/>
          <w:color w:val="000000"/>
          <w:sz w:val="24"/>
          <w:szCs w:val="24"/>
        </w:rPr>
        <w:t>on child protection plans following a planned and supportive model, whilst managing risk.</w:t>
      </w:r>
    </w:p>
    <w:p w:rsidR="00FA05F9" w:rsidRPr="00571FB2" w:rsidRDefault="00FA05F9" w:rsidP="00FA05F9">
      <w:pPr>
        <w:pStyle w:val="NoSpacing"/>
        <w:jc w:val="both"/>
        <w:rPr>
          <w:rFonts w:ascii="Arial" w:eastAsiaTheme="minorEastAsia" w:hAnsi="Arial" w:cs="Arial"/>
          <w:color w:val="000000" w:themeColor="text1"/>
          <w:sz w:val="24"/>
          <w:szCs w:val="24"/>
        </w:rPr>
      </w:pPr>
    </w:p>
    <w:p w:rsidR="00FA05F9" w:rsidRPr="00571FB2" w:rsidRDefault="009B31E1" w:rsidP="00FA05F9">
      <w:pPr>
        <w:pStyle w:val="NoSpacing"/>
        <w:jc w:val="both"/>
        <w:rPr>
          <w:rFonts w:ascii="Arial" w:eastAsiaTheme="minorEastAsia" w:hAnsi="Arial" w:cs="Arial"/>
          <w:color w:val="000000" w:themeColor="text1"/>
          <w:sz w:val="24"/>
          <w:szCs w:val="24"/>
        </w:rPr>
      </w:pPr>
      <w:r w:rsidRPr="00571FB2">
        <w:rPr>
          <w:rFonts w:ascii="Arial" w:eastAsiaTheme="minorEastAsia" w:hAnsi="Arial" w:cs="Arial"/>
          <w:color w:val="000000" w:themeColor="text1"/>
          <w:sz w:val="24"/>
          <w:szCs w:val="24"/>
        </w:rPr>
        <w:t xml:space="preserve">Workforce figures remained good at the end of </w:t>
      </w:r>
      <w:r>
        <w:rPr>
          <w:rFonts w:ascii="Arial" w:eastAsiaTheme="minorEastAsia" w:hAnsi="Arial" w:cs="Arial"/>
          <w:color w:val="000000" w:themeColor="text1"/>
          <w:sz w:val="24"/>
          <w:szCs w:val="24"/>
        </w:rPr>
        <w:t>quarter one</w:t>
      </w:r>
      <w:r w:rsidRPr="00571FB2">
        <w:rPr>
          <w:rFonts w:ascii="Arial" w:eastAsiaTheme="minorEastAsia" w:hAnsi="Arial" w:cs="Arial"/>
          <w:color w:val="000000" w:themeColor="text1"/>
          <w:sz w:val="24"/>
          <w:szCs w:val="24"/>
        </w:rPr>
        <w:t xml:space="preserve">. Average caseloads have reduced.  Of the social worker workforce, Assessed and </w:t>
      </w:r>
      <w:r w:rsidR="00FA05F9">
        <w:rPr>
          <w:rFonts w:ascii="Arial" w:eastAsiaTheme="minorEastAsia" w:hAnsi="Arial" w:cs="Arial"/>
          <w:color w:val="000000" w:themeColor="text1"/>
          <w:sz w:val="24"/>
          <w:szCs w:val="24"/>
        </w:rPr>
        <w:t>Supported Y</w:t>
      </w:r>
      <w:r w:rsidRPr="00571FB2">
        <w:rPr>
          <w:rFonts w:ascii="Arial" w:eastAsiaTheme="minorEastAsia" w:hAnsi="Arial" w:cs="Arial"/>
          <w:color w:val="000000" w:themeColor="text1"/>
          <w:sz w:val="24"/>
          <w:szCs w:val="24"/>
        </w:rPr>
        <w:t xml:space="preserve">ear in </w:t>
      </w:r>
      <w:r w:rsidR="00FA05F9">
        <w:rPr>
          <w:rFonts w:ascii="Arial" w:eastAsiaTheme="minorEastAsia" w:hAnsi="Arial" w:cs="Arial"/>
          <w:color w:val="000000" w:themeColor="text1"/>
          <w:sz w:val="24"/>
          <w:szCs w:val="24"/>
        </w:rPr>
        <w:t>E</w:t>
      </w:r>
      <w:r w:rsidRPr="00571FB2">
        <w:rPr>
          <w:rFonts w:ascii="Arial" w:eastAsiaTheme="minorEastAsia" w:hAnsi="Arial" w:cs="Arial"/>
          <w:color w:val="000000" w:themeColor="text1"/>
          <w:sz w:val="24"/>
          <w:szCs w:val="24"/>
        </w:rPr>
        <w:t xml:space="preserve">mployment made up 27% and experienced staff 37.9%. The experienced workforce figures are an improvement from </w:t>
      </w:r>
      <w:r>
        <w:rPr>
          <w:rFonts w:ascii="Arial" w:eastAsiaTheme="minorEastAsia" w:hAnsi="Arial" w:cs="Arial"/>
          <w:color w:val="000000" w:themeColor="text1"/>
          <w:sz w:val="24"/>
          <w:szCs w:val="24"/>
        </w:rPr>
        <w:t>quarter one</w:t>
      </w:r>
      <w:r w:rsidRPr="00571FB2">
        <w:rPr>
          <w:rFonts w:ascii="Arial" w:eastAsiaTheme="minorEastAsia" w:hAnsi="Arial" w:cs="Arial"/>
          <w:color w:val="000000" w:themeColor="text1"/>
          <w:sz w:val="24"/>
          <w:szCs w:val="24"/>
        </w:rPr>
        <w:t xml:space="preserve"> </w:t>
      </w:r>
      <w:r w:rsidR="009A60AA">
        <w:rPr>
          <w:rFonts w:ascii="Arial" w:eastAsiaTheme="minorEastAsia" w:hAnsi="Arial" w:cs="Arial"/>
          <w:color w:val="000000" w:themeColor="text1"/>
          <w:sz w:val="24"/>
          <w:szCs w:val="24"/>
        </w:rPr>
        <w:t>of 20</w:t>
      </w:r>
      <w:r w:rsidRPr="00571FB2">
        <w:rPr>
          <w:rFonts w:ascii="Arial" w:eastAsiaTheme="minorEastAsia" w:hAnsi="Arial" w:cs="Arial"/>
          <w:color w:val="000000" w:themeColor="text1"/>
          <w:sz w:val="24"/>
          <w:szCs w:val="24"/>
        </w:rPr>
        <w:t>18/19 (31.9%).</w:t>
      </w:r>
    </w:p>
    <w:p w:rsidR="00FA05F9" w:rsidRPr="00571FB2" w:rsidRDefault="00FA05F9" w:rsidP="00FA05F9">
      <w:pPr>
        <w:pStyle w:val="NoSpacing"/>
        <w:jc w:val="both"/>
        <w:rPr>
          <w:rFonts w:ascii="Arial" w:eastAsiaTheme="minorEastAsia" w:hAnsi="Arial" w:cs="Arial"/>
          <w:color w:val="000000" w:themeColor="text1"/>
          <w:sz w:val="24"/>
          <w:szCs w:val="24"/>
        </w:rPr>
      </w:pPr>
    </w:p>
    <w:p w:rsidR="00FA05F9" w:rsidRPr="00571FB2" w:rsidRDefault="009B31E1" w:rsidP="00FA05F9">
      <w:pPr>
        <w:pStyle w:val="NoSpacing"/>
        <w:jc w:val="both"/>
        <w:rPr>
          <w:rFonts w:ascii="Arial" w:eastAsiaTheme="minorEastAsia" w:hAnsi="Arial" w:cs="Arial"/>
          <w:color w:val="000000" w:themeColor="text1"/>
          <w:sz w:val="24"/>
          <w:szCs w:val="24"/>
        </w:rPr>
      </w:pPr>
      <w:r w:rsidRPr="00571FB2">
        <w:rPr>
          <w:rFonts w:ascii="Arial" w:eastAsiaTheme="minorEastAsia" w:hAnsi="Arial" w:cs="Arial"/>
          <w:color w:val="000000" w:themeColor="text1"/>
          <w:sz w:val="24"/>
          <w:szCs w:val="24"/>
        </w:rPr>
        <w:t xml:space="preserve">Around 15.4% of assessments completed during </w:t>
      </w:r>
      <w:r>
        <w:rPr>
          <w:rFonts w:ascii="Arial" w:eastAsiaTheme="minorEastAsia" w:hAnsi="Arial" w:cs="Arial"/>
          <w:color w:val="000000" w:themeColor="text1"/>
          <w:sz w:val="24"/>
          <w:szCs w:val="24"/>
        </w:rPr>
        <w:t>quarter one</w:t>
      </w:r>
      <w:r w:rsidR="009A60AA">
        <w:rPr>
          <w:rFonts w:ascii="Arial" w:eastAsiaTheme="minorEastAsia" w:hAnsi="Arial" w:cs="Arial"/>
          <w:color w:val="000000" w:themeColor="text1"/>
          <w:sz w:val="24"/>
          <w:szCs w:val="24"/>
        </w:rPr>
        <w:t xml:space="preserve"> of</w:t>
      </w:r>
      <w:r>
        <w:rPr>
          <w:rFonts w:ascii="Arial" w:eastAsiaTheme="minorEastAsia" w:hAnsi="Arial" w:cs="Arial"/>
          <w:color w:val="000000" w:themeColor="text1"/>
          <w:sz w:val="24"/>
          <w:szCs w:val="24"/>
        </w:rPr>
        <w:t xml:space="preserve"> 20</w:t>
      </w:r>
      <w:r w:rsidRPr="00571FB2">
        <w:rPr>
          <w:rFonts w:ascii="Arial" w:eastAsiaTheme="minorEastAsia" w:hAnsi="Arial" w:cs="Arial"/>
          <w:color w:val="000000" w:themeColor="text1"/>
          <w:sz w:val="24"/>
          <w:szCs w:val="24"/>
        </w:rPr>
        <w:t>19/20 took over 45 days to complete which is now lower than all the comparator averages (national 17.3% and regional 16.3%)</w:t>
      </w:r>
      <w:r>
        <w:rPr>
          <w:rFonts w:ascii="Arial" w:eastAsiaTheme="minorEastAsia" w:hAnsi="Arial" w:cs="Arial"/>
          <w:color w:val="000000" w:themeColor="text1"/>
          <w:sz w:val="24"/>
          <w:szCs w:val="24"/>
        </w:rPr>
        <w:t xml:space="preserve"> for the second quarter in succession</w:t>
      </w:r>
      <w:r w:rsidRPr="00571FB2">
        <w:rPr>
          <w:rFonts w:ascii="Arial" w:eastAsiaTheme="minorEastAsia" w:hAnsi="Arial" w:cs="Arial"/>
          <w:color w:val="000000" w:themeColor="text1"/>
          <w:sz w:val="24"/>
          <w:szCs w:val="24"/>
        </w:rPr>
        <w:t>.</w:t>
      </w:r>
    </w:p>
    <w:p w:rsidR="00FA05F9" w:rsidRPr="00F525F5" w:rsidRDefault="00FA05F9" w:rsidP="00FA05F9">
      <w:pPr>
        <w:pStyle w:val="NoSpacing"/>
        <w:rPr>
          <w:rFonts w:eastAsiaTheme="minorHAnsi"/>
          <w:color w:val="FF0000"/>
          <w:lang w:eastAsia="en-US"/>
        </w:rPr>
      </w:pPr>
    </w:p>
    <w:p w:rsidR="00FA05F9" w:rsidRPr="00F525F5" w:rsidRDefault="009B31E1" w:rsidP="00FA05F9">
      <w:pPr>
        <w:pStyle w:val="NoSpacing"/>
        <w:rPr>
          <w:rFonts w:ascii="Arial" w:eastAsiaTheme="minorHAnsi" w:hAnsi="Arial" w:cs="Arial"/>
          <w:i/>
          <w:sz w:val="24"/>
          <w:szCs w:val="24"/>
          <w:lang w:eastAsia="en-US"/>
        </w:rPr>
      </w:pPr>
      <w:r w:rsidRPr="00F525F5">
        <w:rPr>
          <w:rFonts w:ascii="Arial" w:eastAsiaTheme="minorHAnsi" w:hAnsi="Arial" w:cs="Arial"/>
          <w:i/>
          <w:sz w:val="24"/>
          <w:szCs w:val="24"/>
          <w:lang w:eastAsia="en-US"/>
        </w:rPr>
        <w:t>Adoptions</w:t>
      </w:r>
    </w:p>
    <w:p w:rsidR="00FA05F9" w:rsidRPr="00F525F5" w:rsidRDefault="00FA05F9" w:rsidP="00FA05F9">
      <w:pPr>
        <w:jc w:val="both"/>
        <w:rPr>
          <w:rFonts w:eastAsiaTheme="minorHAnsi" w:cs="Arial"/>
          <w:color w:val="FF0000"/>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096"/>
        <w:gridCol w:w="880"/>
        <w:gridCol w:w="880"/>
        <w:gridCol w:w="880"/>
        <w:gridCol w:w="880"/>
        <w:gridCol w:w="1054"/>
      </w:tblGrid>
      <w:tr w:rsidR="004744FE" w:rsidTr="00FA05F9">
        <w:trPr>
          <w:trHeight w:val="247"/>
        </w:trPr>
        <w:tc>
          <w:tcPr>
            <w:tcW w:w="2547" w:type="dxa"/>
            <w:shd w:val="clear" w:color="000000" w:fill="D9D9D9"/>
            <w:vAlign w:val="center"/>
            <w:hideMark/>
          </w:tcPr>
          <w:p w:rsidR="00FA05F9" w:rsidRPr="00740462" w:rsidRDefault="009B31E1" w:rsidP="00FA05F9">
            <w:pPr>
              <w:rPr>
                <w:rFonts w:cs="Arial"/>
                <w:b/>
                <w:bCs/>
                <w:color w:val="000000" w:themeColor="text1"/>
                <w:sz w:val="18"/>
                <w:szCs w:val="18"/>
              </w:rPr>
            </w:pPr>
            <w:r w:rsidRPr="00740462">
              <w:rPr>
                <w:rFonts w:cs="Arial"/>
                <w:b/>
                <w:bCs/>
                <w:color w:val="000000" w:themeColor="text1"/>
                <w:sz w:val="18"/>
                <w:szCs w:val="18"/>
              </w:rPr>
              <w:t>Performance Measure</w:t>
            </w:r>
          </w:p>
        </w:tc>
        <w:tc>
          <w:tcPr>
            <w:tcW w:w="850" w:type="dxa"/>
            <w:shd w:val="clear" w:color="000000" w:fill="D9D9D9"/>
            <w:vAlign w:val="center"/>
            <w:hideMark/>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Good is High or Low</w:t>
            </w:r>
          </w:p>
        </w:tc>
        <w:tc>
          <w:tcPr>
            <w:tcW w:w="993" w:type="dxa"/>
            <w:shd w:val="clear" w:color="000000" w:fill="D9D9D9"/>
            <w:noWrap/>
            <w:vAlign w:val="center"/>
            <w:hideMark/>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2017/18</w:t>
            </w:r>
          </w:p>
        </w:tc>
        <w:tc>
          <w:tcPr>
            <w:tcW w:w="1096"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Q2 2018/19</w:t>
            </w:r>
          </w:p>
        </w:tc>
        <w:tc>
          <w:tcPr>
            <w:tcW w:w="880"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Q3</w:t>
            </w:r>
          </w:p>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2018/19</w:t>
            </w:r>
          </w:p>
        </w:tc>
        <w:tc>
          <w:tcPr>
            <w:tcW w:w="880"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 xml:space="preserve">Q4 2018/19 </w:t>
            </w:r>
          </w:p>
        </w:tc>
        <w:tc>
          <w:tcPr>
            <w:tcW w:w="880"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 xml:space="preserve">2018/19 </w:t>
            </w:r>
          </w:p>
        </w:tc>
        <w:tc>
          <w:tcPr>
            <w:tcW w:w="880"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 xml:space="preserve">Q1 19/20 </w:t>
            </w:r>
          </w:p>
        </w:tc>
        <w:tc>
          <w:tcPr>
            <w:tcW w:w="1054" w:type="dxa"/>
            <w:shd w:val="clear" w:color="000000" w:fill="D9D9D9"/>
            <w:vAlign w:val="center"/>
          </w:tcPr>
          <w:p w:rsidR="00FA05F9" w:rsidRPr="00740462" w:rsidRDefault="009B31E1" w:rsidP="00FA05F9">
            <w:pPr>
              <w:jc w:val="center"/>
              <w:rPr>
                <w:rFonts w:cs="Arial"/>
                <w:b/>
                <w:bCs/>
                <w:color w:val="000000" w:themeColor="text1"/>
                <w:sz w:val="18"/>
                <w:szCs w:val="18"/>
              </w:rPr>
            </w:pPr>
            <w:r w:rsidRPr="00740462">
              <w:rPr>
                <w:rFonts w:cs="Arial"/>
                <w:b/>
                <w:bCs/>
                <w:color w:val="000000" w:themeColor="text1"/>
                <w:sz w:val="18"/>
                <w:szCs w:val="18"/>
              </w:rPr>
              <w:t>England Average</w:t>
            </w:r>
          </w:p>
        </w:tc>
      </w:tr>
      <w:tr w:rsidR="004744FE" w:rsidTr="00FA05F9">
        <w:trPr>
          <w:trHeight w:val="270"/>
        </w:trPr>
        <w:tc>
          <w:tcPr>
            <w:tcW w:w="2547" w:type="dxa"/>
            <w:shd w:val="clear" w:color="auto" w:fill="auto"/>
            <w:hideMark/>
          </w:tcPr>
          <w:p w:rsidR="00FA05F9" w:rsidRPr="00740462" w:rsidRDefault="009B31E1" w:rsidP="00FA05F9">
            <w:pPr>
              <w:rPr>
                <w:rFonts w:cs="Arial"/>
                <w:color w:val="000000" w:themeColor="text1"/>
                <w:sz w:val="18"/>
                <w:szCs w:val="18"/>
              </w:rPr>
            </w:pPr>
            <w:r w:rsidRPr="00740462">
              <w:rPr>
                <w:rFonts w:cs="Arial"/>
                <w:color w:val="000000" w:themeColor="text1"/>
                <w:sz w:val="18"/>
                <w:szCs w:val="18"/>
              </w:rPr>
              <w:t>Average time between a child entering care and moving in with their adoptive family, for children who have been adopted (days)</w:t>
            </w:r>
          </w:p>
        </w:tc>
        <w:tc>
          <w:tcPr>
            <w:tcW w:w="850" w:type="dxa"/>
            <w:shd w:val="clear" w:color="auto" w:fill="auto"/>
            <w:vAlign w:val="center"/>
            <w:hideMark/>
          </w:tcPr>
          <w:p w:rsidR="00FA05F9" w:rsidRPr="00740462" w:rsidRDefault="009B31E1" w:rsidP="00FA05F9">
            <w:pPr>
              <w:jc w:val="center"/>
              <w:rPr>
                <w:rFonts w:cs="Arial"/>
                <w:color w:val="000000" w:themeColor="text1"/>
                <w:sz w:val="18"/>
                <w:szCs w:val="18"/>
              </w:rPr>
            </w:pPr>
            <w:r w:rsidRPr="00740462">
              <w:rPr>
                <w:rFonts w:cs="Arial"/>
                <w:color w:val="000000" w:themeColor="text1"/>
                <w:sz w:val="18"/>
                <w:szCs w:val="18"/>
              </w:rPr>
              <w:t>L</w:t>
            </w:r>
          </w:p>
        </w:tc>
        <w:tc>
          <w:tcPr>
            <w:tcW w:w="993" w:type="dxa"/>
            <w:shd w:val="clear" w:color="auto" w:fill="C5E0B3" w:themeFill="accent6" w:themeFillTint="66"/>
            <w:noWrap/>
            <w:vAlign w:val="center"/>
            <w:hideMark/>
          </w:tcPr>
          <w:p w:rsidR="00FA05F9" w:rsidRPr="00740462" w:rsidRDefault="009B31E1" w:rsidP="00FA05F9">
            <w:pPr>
              <w:jc w:val="center"/>
              <w:rPr>
                <w:rFonts w:cs="Arial"/>
                <w:color w:val="000000" w:themeColor="text1"/>
                <w:sz w:val="18"/>
                <w:szCs w:val="18"/>
              </w:rPr>
            </w:pPr>
            <w:r w:rsidRPr="00740462">
              <w:rPr>
                <w:color w:val="000000" w:themeColor="text1"/>
                <w:sz w:val="18"/>
                <w:szCs w:val="18"/>
              </w:rPr>
              <w:t>428</w:t>
            </w:r>
          </w:p>
        </w:tc>
        <w:tc>
          <w:tcPr>
            <w:tcW w:w="1096" w:type="dxa"/>
            <w:shd w:val="clear" w:color="auto" w:fill="F7CAAC" w:themeFill="accent2"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557</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372</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395</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429</w:t>
            </w:r>
          </w:p>
        </w:tc>
        <w:tc>
          <w:tcPr>
            <w:tcW w:w="880" w:type="dxa"/>
            <w:shd w:val="clear" w:color="auto" w:fill="F7CAAC" w:themeFill="accent2"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546</w:t>
            </w:r>
          </w:p>
        </w:tc>
        <w:tc>
          <w:tcPr>
            <w:tcW w:w="1054" w:type="dxa"/>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520</w:t>
            </w:r>
          </w:p>
          <w:p w:rsidR="00FA05F9" w:rsidRPr="00740462" w:rsidRDefault="009B31E1" w:rsidP="00FA05F9">
            <w:pPr>
              <w:jc w:val="center"/>
              <w:rPr>
                <w:rFonts w:cs="Arial"/>
                <w:color w:val="000000" w:themeColor="text1"/>
                <w:sz w:val="18"/>
                <w:szCs w:val="18"/>
              </w:rPr>
            </w:pPr>
            <w:r w:rsidRPr="00740462">
              <w:rPr>
                <w:color w:val="000000" w:themeColor="text1"/>
                <w:sz w:val="18"/>
                <w:szCs w:val="18"/>
              </w:rPr>
              <w:t>(2014-17)</w:t>
            </w:r>
          </w:p>
        </w:tc>
      </w:tr>
      <w:tr w:rsidR="004744FE" w:rsidTr="00FA05F9">
        <w:trPr>
          <w:trHeight w:val="250"/>
        </w:trPr>
        <w:tc>
          <w:tcPr>
            <w:tcW w:w="2547" w:type="dxa"/>
            <w:shd w:val="clear" w:color="auto" w:fill="auto"/>
            <w:hideMark/>
          </w:tcPr>
          <w:p w:rsidR="00FA05F9" w:rsidRPr="00740462" w:rsidRDefault="009B31E1" w:rsidP="00FA05F9">
            <w:pPr>
              <w:rPr>
                <w:rFonts w:cs="Arial"/>
                <w:color w:val="000000" w:themeColor="text1"/>
                <w:sz w:val="18"/>
                <w:szCs w:val="18"/>
              </w:rPr>
            </w:pPr>
            <w:r w:rsidRPr="00740462">
              <w:rPr>
                <w:rFonts w:cs="Arial"/>
                <w:color w:val="000000" w:themeColor="text1"/>
                <w:sz w:val="18"/>
                <w:szCs w:val="18"/>
              </w:rPr>
              <w:lastRenderedPageBreak/>
              <w:t>Days between a local authority receiving court authority to place a child and the local authority deciding  on a match to an adoptive family (days)</w:t>
            </w:r>
          </w:p>
        </w:tc>
        <w:tc>
          <w:tcPr>
            <w:tcW w:w="850" w:type="dxa"/>
            <w:shd w:val="clear" w:color="auto" w:fill="auto"/>
            <w:vAlign w:val="center"/>
            <w:hideMark/>
          </w:tcPr>
          <w:p w:rsidR="00FA05F9" w:rsidRPr="00740462" w:rsidRDefault="009B31E1" w:rsidP="00FA05F9">
            <w:pPr>
              <w:jc w:val="center"/>
              <w:rPr>
                <w:color w:val="000000" w:themeColor="text1"/>
                <w:sz w:val="18"/>
                <w:szCs w:val="18"/>
              </w:rPr>
            </w:pPr>
            <w:r w:rsidRPr="00740462">
              <w:rPr>
                <w:color w:val="000000" w:themeColor="text1"/>
                <w:sz w:val="18"/>
                <w:szCs w:val="18"/>
              </w:rPr>
              <w:t>L</w:t>
            </w:r>
          </w:p>
        </w:tc>
        <w:tc>
          <w:tcPr>
            <w:tcW w:w="993" w:type="dxa"/>
            <w:shd w:val="clear" w:color="auto" w:fill="C5E0B3" w:themeFill="accent6" w:themeFillTint="66"/>
            <w:noWrap/>
            <w:vAlign w:val="center"/>
            <w:hideMark/>
          </w:tcPr>
          <w:p w:rsidR="00FA05F9" w:rsidRPr="00740462" w:rsidRDefault="009B31E1" w:rsidP="00FA05F9">
            <w:pPr>
              <w:jc w:val="center"/>
              <w:rPr>
                <w:color w:val="000000" w:themeColor="text1"/>
                <w:sz w:val="18"/>
                <w:szCs w:val="18"/>
              </w:rPr>
            </w:pPr>
            <w:r w:rsidRPr="00740462">
              <w:rPr>
                <w:color w:val="000000" w:themeColor="text1"/>
                <w:sz w:val="18"/>
                <w:szCs w:val="18"/>
              </w:rPr>
              <w:t>157</w:t>
            </w:r>
          </w:p>
        </w:tc>
        <w:tc>
          <w:tcPr>
            <w:tcW w:w="1096"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218</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136</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90</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169</w:t>
            </w:r>
          </w:p>
        </w:tc>
        <w:tc>
          <w:tcPr>
            <w:tcW w:w="880" w:type="dxa"/>
            <w:shd w:val="clear" w:color="auto" w:fill="C5E0B3" w:themeFill="accent6" w:themeFillTint="66"/>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204</w:t>
            </w:r>
          </w:p>
        </w:tc>
        <w:tc>
          <w:tcPr>
            <w:tcW w:w="1054" w:type="dxa"/>
            <w:vAlign w:val="center"/>
          </w:tcPr>
          <w:p w:rsidR="00FA05F9" w:rsidRPr="00740462" w:rsidRDefault="009B31E1" w:rsidP="00FA05F9">
            <w:pPr>
              <w:jc w:val="center"/>
              <w:rPr>
                <w:color w:val="000000" w:themeColor="text1"/>
                <w:sz w:val="18"/>
                <w:szCs w:val="18"/>
              </w:rPr>
            </w:pPr>
            <w:r w:rsidRPr="00740462">
              <w:rPr>
                <w:color w:val="000000" w:themeColor="text1"/>
                <w:sz w:val="18"/>
                <w:szCs w:val="18"/>
              </w:rPr>
              <w:t>220</w:t>
            </w:r>
          </w:p>
          <w:p w:rsidR="00FA05F9" w:rsidRPr="00740462" w:rsidRDefault="009B31E1" w:rsidP="00FA05F9">
            <w:pPr>
              <w:jc w:val="center"/>
              <w:rPr>
                <w:rFonts w:cs="Arial"/>
                <w:color w:val="000000" w:themeColor="text1"/>
                <w:sz w:val="18"/>
                <w:szCs w:val="18"/>
              </w:rPr>
            </w:pPr>
            <w:r w:rsidRPr="00740462">
              <w:rPr>
                <w:color w:val="000000" w:themeColor="text1"/>
                <w:sz w:val="18"/>
                <w:szCs w:val="18"/>
              </w:rPr>
              <w:t>(2014-17)</w:t>
            </w:r>
          </w:p>
        </w:tc>
      </w:tr>
    </w:tbl>
    <w:p w:rsidR="00FA05F9" w:rsidRPr="00F525F5" w:rsidRDefault="00FA05F9" w:rsidP="00FA05F9">
      <w:pPr>
        <w:pStyle w:val="NoSpacing"/>
        <w:jc w:val="both"/>
        <w:rPr>
          <w:rFonts w:ascii="Arial" w:eastAsiaTheme="minorHAnsi" w:hAnsi="Arial" w:cs="Arial"/>
          <w:i/>
          <w:color w:val="FF0000"/>
          <w:lang w:eastAsia="en-US"/>
        </w:rPr>
      </w:pPr>
    </w:p>
    <w:p w:rsidR="00FA05F9" w:rsidRPr="00740462" w:rsidRDefault="009B31E1" w:rsidP="009A60AA">
      <w:pPr>
        <w:pStyle w:val="NoSpacing"/>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Quarter 1</w:t>
      </w:r>
      <w:r w:rsidRPr="00740462">
        <w:rPr>
          <w:rFonts w:ascii="Arial" w:eastAsiaTheme="minorHAnsi" w:hAnsi="Arial" w:cs="Arial"/>
          <w:color w:val="000000" w:themeColor="text1"/>
          <w:sz w:val="24"/>
          <w:szCs w:val="24"/>
          <w:lang w:eastAsia="en-US"/>
        </w:rPr>
        <w:t xml:space="preserve"> of 201</w:t>
      </w:r>
      <w:r>
        <w:rPr>
          <w:rFonts w:ascii="Arial" w:eastAsiaTheme="minorHAnsi" w:hAnsi="Arial" w:cs="Arial"/>
          <w:color w:val="000000" w:themeColor="text1"/>
          <w:sz w:val="24"/>
          <w:szCs w:val="24"/>
          <w:lang w:eastAsia="en-US"/>
        </w:rPr>
        <w:t>9</w:t>
      </w:r>
      <w:r w:rsidRPr="00740462">
        <w:rPr>
          <w:rFonts w:ascii="Arial" w:eastAsiaTheme="minorHAnsi" w:hAnsi="Arial" w:cs="Arial"/>
          <w:color w:val="000000" w:themeColor="text1"/>
          <w:sz w:val="24"/>
          <w:szCs w:val="24"/>
          <w:lang w:eastAsia="en-US"/>
        </w:rPr>
        <w:t>/</w:t>
      </w:r>
      <w:r>
        <w:rPr>
          <w:rFonts w:ascii="Arial" w:eastAsiaTheme="minorHAnsi" w:hAnsi="Arial" w:cs="Arial"/>
          <w:color w:val="000000" w:themeColor="text1"/>
          <w:sz w:val="24"/>
          <w:szCs w:val="24"/>
          <w:lang w:eastAsia="en-US"/>
        </w:rPr>
        <w:t>20</w:t>
      </w:r>
      <w:r w:rsidRPr="00740462">
        <w:rPr>
          <w:rFonts w:ascii="Arial" w:eastAsiaTheme="minorHAnsi" w:hAnsi="Arial" w:cs="Arial"/>
          <w:color w:val="000000" w:themeColor="text1"/>
          <w:sz w:val="24"/>
          <w:szCs w:val="24"/>
          <w:lang w:eastAsia="en-US"/>
        </w:rPr>
        <w:t xml:space="preserve"> recorded a significant increase in the average time between a child entering care and moving in with their adoptive family</w:t>
      </w:r>
      <w:r>
        <w:rPr>
          <w:rFonts w:ascii="Arial" w:eastAsiaTheme="minorHAnsi" w:hAnsi="Arial" w:cs="Arial"/>
          <w:color w:val="000000" w:themeColor="text1"/>
          <w:sz w:val="24"/>
          <w:szCs w:val="24"/>
          <w:lang w:eastAsia="en-US"/>
        </w:rPr>
        <w:t xml:space="preserve"> (3 adoption cases which concluded in Q1 have taken over a 1000 days each)</w:t>
      </w:r>
      <w:r w:rsidRPr="00740462">
        <w:rPr>
          <w:rFonts w:ascii="Arial" w:eastAsiaTheme="minorHAnsi" w:hAnsi="Arial" w:cs="Arial"/>
          <w:color w:val="000000" w:themeColor="text1"/>
          <w:sz w:val="24"/>
          <w:szCs w:val="24"/>
          <w:lang w:eastAsia="en-US"/>
        </w:rPr>
        <w:t xml:space="preserve">.  However the current rolling year figure for July </w:t>
      </w:r>
      <w:r>
        <w:rPr>
          <w:rFonts w:ascii="Arial" w:eastAsiaTheme="minorHAnsi" w:hAnsi="Arial" w:cs="Arial"/>
          <w:color w:val="000000" w:themeColor="text1"/>
          <w:sz w:val="24"/>
          <w:szCs w:val="24"/>
          <w:lang w:eastAsia="en-US"/>
        </w:rPr>
        <w:t>20</w:t>
      </w:r>
      <w:r w:rsidRPr="00740462">
        <w:rPr>
          <w:rFonts w:ascii="Arial" w:eastAsiaTheme="minorHAnsi" w:hAnsi="Arial" w:cs="Arial"/>
          <w:color w:val="000000" w:themeColor="text1"/>
          <w:sz w:val="24"/>
          <w:szCs w:val="24"/>
          <w:lang w:eastAsia="en-US"/>
        </w:rPr>
        <w:t>18 to June 2019 is 478 days which is better than the latest national average figure (520 days).  68 children were placed for adoption during 2018/19, which is a reduction compared to 2017/18 (86).</w:t>
      </w:r>
    </w:p>
    <w:p w:rsidR="00FA05F9" w:rsidRDefault="00FA05F9" w:rsidP="00FA05F9">
      <w:pPr>
        <w:pStyle w:val="NoSpacing"/>
        <w:jc w:val="both"/>
        <w:rPr>
          <w:rFonts w:ascii="Arial" w:eastAsiaTheme="minorHAnsi" w:hAnsi="Arial" w:cs="Arial"/>
          <w:i/>
          <w:color w:val="000000" w:themeColor="text1"/>
          <w:sz w:val="24"/>
          <w:szCs w:val="24"/>
          <w:lang w:eastAsia="en-US"/>
        </w:rPr>
      </w:pPr>
    </w:p>
    <w:p w:rsidR="00FA05F9" w:rsidRPr="00F641FC" w:rsidRDefault="009B31E1" w:rsidP="00FA05F9">
      <w:pPr>
        <w:pStyle w:val="NoSpacing"/>
        <w:jc w:val="both"/>
        <w:rPr>
          <w:rFonts w:ascii="Arial" w:eastAsiaTheme="minorHAnsi" w:hAnsi="Arial" w:cs="Arial"/>
          <w:color w:val="000000" w:themeColor="text1"/>
          <w:sz w:val="24"/>
          <w:szCs w:val="24"/>
          <w:lang w:eastAsia="en-US"/>
        </w:rPr>
      </w:pPr>
      <w:r w:rsidRPr="002321A1">
        <w:rPr>
          <w:rFonts w:ascii="Arial" w:eastAsiaTheme="minorHAnsi" w:hAnsi="Arial" w:cs="Arial"/>
          <w:i/>
          <w:color w:val="000000" w:themeColor="text1"/>
          <w:sz w:val="24"/>
          <w:szCs w:val="24"/>
          <w:lang w:eastAsia="en-US"/>
        </w:rPr>
        <w:t>Youth Offending Team</w:t>
      </w:r>
    </w:p>
    <w:p w:rsidR="00FA05F9" w:rsidRPr="00C51C92" w:rsidRDefault="00FA05F9" w:rsidP="00FA05F9">
      <w:pPr>
        <w:pStyle w:val="NoSpacing"/>
        <w:rPr>
          <w:rFonts w:ascii="Arial" w:eastAsiaTheme="minorHAnsi" w:hAnsi="Arial" w:cs="Arial"/>
          <w:i/>
          <w:color w:val="FF0000"/>
          <w:sz w:val="24"/>
          <w:szCs w:val="24"/>
          <w:lang w:eastAsia="en-U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3"/>
        <w:gridCol w:w="898"/>
        <w:gridCol w:w="1937"/>
        <w:gridCol w:w="1701"/>
        <w:gridCol w:w="1701"/>
      </w:tblGrid>
      <w:tr w:rsidR="004744FE" w:rsidTr="00FA05F9">
        <w:trPr>
          <w:trHeight w:val="725"/>
        </w:trPr>
        <w:tc>
          <w:tcPr>
            <w:tcW w:w="3633" w:type="dxa"/>
            <w:shd w:val="clear" w:color="000000" w:fill="D9D9D9"/>
            <w:vAlign w:val="center"/>
            <w:hideMark/>
          </w:tcPr>
          <w:p w:rsidR="00FA05F9" w:rsidRPr="00B73404" w:rsidRDefault="009B31E1" w:rsidP="00FA05F9">
            <w:pPr>
              <w:rPr>
                <w:rFonts w:cs="Arial"/>
                <w:b/>
                <w:bCs/>
                <w:color w:val="000000" w:themeColor="text1"/>
                <w:sz w:val="18"/>
                <w:szCs w:val="18"/>
              </w:rPr>
            </w:pPr>
            <w:r w:rsidRPr="00B73404">
              <w:rPr>
                <w:rFonts w:cs="Arial"/>
                <w:b/>
                <w:bCs/>
                <w:color w:val="000000" w:themeColor="text1"/>
                <w:sz w:val="18"/>
                <w:szCs w:val="18"/>
              </w:rPr>
              <w:t>Performance Measure</w:t>
            </w:r>
          </w:p>
        </w:tc>
        <w:tc>
          <w:tcPr>
            <w:tcW w:w="898" w:type="dxa"/>
            <w:shd w:val="clear" w:color="000000" w:fill="D9D9D9"/>
            <w:vAlign w:val="center"/>
            <w:hideMark/>
          </w:tcPr>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Good is High or Low</w:t>
            </w:r>
          </w:p>
        </w:tc>
        <w:tc>
          <w:tcPr>
            <w:tcW w:w="1937" w:type="dxa"/>
            <w:shd w:val="clear" w:color="000000" w:fill="D9D9D9"/>
            <w:noWrap/>
            <w:vAlign w:val="center"/>
            <w:hideMark/>
          </w:tcPr>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Previous</w:t>
            </w:r>
          </w:p>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Period</w:t>
            </w:r>
          </w:p>
        </w:tc>
        <w:tc>
          <w:tcPr>
            <w:tcW w:w="1701" w:type="dxa"/>
            <w:shd w:val="clear" w:color="000000" w:fill="D9D9D9"/>
            <w:vAlign w:val="center"/>
          </w:tcPr>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Latest Available</w:t>
            </w:r>
          </w:p>
        </w:tc>
        <w:tc>
          <w:tcPr>
            <w:tcW w:w="1701" w:type="dxa"/>
            <w:shd w:val="clear" w:color="000000" w:fill="D9D9D9"/>
            <w:vAlign w:val="center"/>
          </w:tcPr>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England</w:t>
            </w:r>
          </w:p>
          <w:p w:rsidR="00FA05F9" w:rsidRPr="00B73404" w:rsidRDefault="009B31E1" w:rsidP="00FA05F9">
            <w:pPr>
              <w:jc w:val="center"/>
              <w:rPr>
                <w:rFonts w:cs="Arial"/>
                <w:b/>
                <w:bCs/>
                <w:color w:val="000000" w:themeColor="text1"/>
                <w:sz w:val="18"/>
                <w:szCs w:val="18"/>
              </w:rPr>
            </w:pPr>
            <w:r w:rsidRPr="00B73404">
              <w:rPr>
                <w:rFonts w:cs="Arial"/>
                <w:b/>
                <w:bCs/>
                <w:color w:val="000000" w:themeColor="text1"/>
                <w:sz w:val="18"/>
                <w:szCs w:val="18"/>
              </w:rPr>
              <w:t>Average</w:t>
            </w:r>
          </w:p>
        </w:tc>
      </w:tr>
      <w:tr w:rsidR="004744FE" w:rsidTr="00FA05F9">
        <w:trPr>
          <w:trHeight w:val="526"/>
        </w:trPr>
        <w:tc>
          <w:tcPr>
            <w:tcW w:w="3633" w:type="dxa"/>
            <w:shd w:val="clear" w:color="auto" w:fill="auto"/>
            <w:vAlign w:val="center"/>
            <w:hideMark/>
          </w:tcPr>
          <w:p w:rsidR="00FA05F9" w:rsidRPr="00B73404" w:rsidRDefault="009B31E1" w:rsidP="00FA05F9">
            <w:pPr>
              <w:rPr>
                <w:rFonts w:cs="Arial"/>
                <w:color w:val="000000" w:themeColor="text1"/>
                <w:sz w:val="18"/>
                <w:szCs w:val="18"/>
              </w:rPr>
            </w:pPr>
            <w:r w:rsidRPr="00B73404">
              <w:rPr>
                <w:rFonts w:cs="Arial"/>
                <w:color w:val="000000" w:themeColor="text1"/>
                <w:sz w:val="18"/>
                <w:szCs w:val="18"/>
              </w:rPr>
              <w:t>Rate per 100,000 local youth of first time entrants to youth justice system</w:t>
            </w:r>
          </w:p>
        </w:tc>
        <w:tc>
          <w:tcPr>
            <w:tcW w:w="898" w:type="dxa"/>
            <w:shd w:val="clear" w:color="auto" w:fill="auto"/>
            <w:vAlign w:val="center"/>
            <w:hideMark/>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L</w:t>
            </w:r>
          </w:p>
        </w:tc>
        <w:tc>
          <w:tcPr>
            <w:tcW w:w="1937" w:type="dxa"/>
            <w:shd w:val="clear" w:color="auto" w:fill="C5E0B3" w:themeFill="accent6" w:themeFillTint="66"/>
            <w:noWrap/>
            <w:vAlign w:val="center"/>
            <w:hideMark/>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 xml:space="preserve">207  </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(Oct 17 - Sept 18)</w:t>
            </w:r>
          </w:p>
        </w:tc>
        <w:tc>
          <w:tcPr>
            <w:tcW w:w="1701" w:type="dxa"/>
            <w:shd w:val="clear" w:color="auto" w:fill="C5E0B3" w:themeFill="accent6" w:themeFillTint="66"/>
            <w:vAlign w:val="center"/>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191</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(Jan 18 - Dec 18)</w:t>
            </w:r>
          </w:p>
        </w:tc>
        <w:tc>
          <w:tcPr>
            <w:tcW w:w="1701" w:type="dxa"/>
            <w:shd w:val="clear" w:color="000000" w:fill="FFFFFF"/>
            <w:vAlign w:val="center"/>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238</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(Jan 18 - Dec 18)</w:t>
            </w:r>
          </w:p>
        </w:tc>
      </w:tr>
      <w:tr w:rsidR="004744FE" w:rsidTr="00FA05F9">
        <w:trPr>
          <w:trHeight w:val="117"/>
        </w:trPr>
        <w:tc>
          <w:tcPr>
            <w:tcW w:w="3633" w:type="dxa"/>
            <w:shd w:val="clear" w:color="auto" w:fill="auto"/>
            <w:vAlign w:val="center"/>
            <w:hideMark/>
          </w:tcPr>
          <w:p w:rsidR="00FA05F9" w:rsidRPr="00B73404" w:rsidRDefault="009B31E1" w:rsidP="00FA05F9">
            <w:pPr>
              <w:rPr>
                <w:rFonts w:cs="Arial"/>
                <w:color w:val="000000" w:themeColor="text1"/>
                <w:sz w:val="18"/>
                <w:szCs w:val="18"/>
              </w:rPr>
            </w:pPr>
            <w:r w:rsidRPr="00B73404">
              <w:rPr>
                <w:rFonts w:cs="Arial"/>
                <w:color w:val="000000" w:themeColor="text1"/>
                <w:sz w:val="18"/>
                <w:szCs w:val="18"/>
              </w:rPr>
              <w:t>% of Young People reoffending</w:t>
            </w:r>
          </w:p>
        </w:tc>
        <w:tc>
          <w:tcPr>
            <w:tcW w:w="898" w:type="dxa"/>
            <w:shd w:val="clear" w:color="auto" w:fill="auto"/>
            <w:vAlign w:val="center"/>
            <w:hideMark/>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L</w:t>
            </w:r>
          </w:p>
        </w:tc>
        <w:tc>
          <w:tcPr>
            <w:tcW w:w="1937" w:type="dxa"/>
            <w:shd w:val="clear" w:color="auto" w:fill="F7CAAC" w:themeFill="accent2" w:themeFillTint="66"/>
            <w:noWrap/>
            <w:vAlign w:val="center"/>
            <w:hideMark/>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 xml:space="preserve">45.5% </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(Jan 17 - Mar 17)</w:t>
            </w:r>
          </w:p>
        </w:tc>
        <w:tc>
          <w:tcPr>
            <w:tcW w:w="1701" w:type="dxa"/>
            <w:shd w:val="clear" w:color="auto" w:fill="F7CAAC" w:themeFill="accent2" w:themeFillTint="66"/>
            <w:vAlign w:val="center"/>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 xml:space="preserve">43.0% </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(Apr 17 - Jun 17)</w:t>
            </w:r>
          </w:p>
        </w:tc>
        <w:tc>
          <w:tcPr>
            <w:tcW w:w="1701" w:type="dxa"/>
            <w:shd w:val="clear" w:color="000000" w:fill="FFFFFF"/>
            <w:vAlign w:val="center"/>
          </w:tcPr>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 xml:space="preserve">38.1% </w:t>
            </w:r>
          </w:p>
          <w:p w:rsidR="00FA05F9" w:rsidRPr="00B73404" w:rsidRDefault="009B31E1" w:rsidP="00FA05F9">
            <w:pPr>
              <w:jc w:val="center"/>
              <w:rPr>
                <w:rFonts w:cs="Arial"/>
                <w:color w:val="000000" w:themeColor="text1"/>
                <w:sz w:val="18"/>
                <w:szCs w:val="18"/>
              </w:rPr>
            </w:pPr>
            <w:r w:rsidRPr="00B73404">
              <w:rPr>
                <w:rFonts w:cs="Arial"/>
                <w:color w:val="000000" w:themeColor="text1"/>
                <w:sz w:val="18"/>
                <w:szCs w:val="18"/>
              </w:rPr>
              <w:t>(Apr 17 - Jun 17)</w:t>
            </w:r>
          </w:p>
        </w:tc>
      </w:tr>
    </w:tbl>
    <w:p w:rsidR="00FA05F9" w:rsidRPr="00F525F5" w:rsidRDefault="00FA05F9" w:rsidP="00FA05F9">
      <w:pPr>
        <w:pStyle w:val="NoSpacing"/>
        <w:rPr>
          <w:rFonts w:ascii="Arial" w:eastAsiaTheme="minorHAnsi" w:hAnsi="Arial" w:cs="Arial"/>
          <w:color w:val="FF0000"/>
          <w:sz w:val="24"/>
          <w:szCs w:val="24"/>
          <w:lang w:eastAsia="en-US"/>
        </w:rPr>
      </w:pPr>
    </w:p>
    <w:p w:rsidR="00FA05F9" w:rsidRDefault="009B31E1" w:rsidP="00FA05F9">
      <w:pPr>
        <w:pStyle w:val="NoSpacing"/>
        <w:jc w:val="both"/>
        <w:rPr>
          <w:rFonts w:ascii="Arial" w:eastAsiaTheme="minorHAnsi" w:hAnsi="Arial" w:cs="Arial"/>
          <w:color w:val="000000" w:themeColor="text1"/>
          <w:sz w:val="24"/>
          <w:szCs w:val="24"/>
          <w:lang w:eastAsia="en-US"/>
        </w:rPr>
      </w:pPr>
      <w:r w:rsidRPr="00B73404">
        <w:rPr>
          <w:rFonts w:ascii="Arial" w:eastAsiaTheme="minorHAnsi" w:hAnsi="Arial" w:cs="Arial"/>
          <w:color w:val="000000" w:themeColor="text1"/>
          <w:sz w:val="24"/>
          <w:szCs w:val="24"/>
          <w:lang w:eastAsia="en-US"/>
        </w:rPr>
        <w:t xml:space="preserve">There were less first time entrants to the youth justice system in Lancashire </w:t>
      </w:r>
      <w:r>
        <w:rPr>
          <w:rFonts w:ascii="Arial" w:eastAsiaTheme="minorHAnsi" w:hAnsi="Arial" w:cs="Arial"/>
          <w:color w:val="000000" w:themeColor="text1"/>
          <w:sz w:val="24"/>
          <w:szCs w:val="24"/>
          <w:lang w:eastAsia="en-US"/>
        </w:rPr>
        <w:t>for the last reported period and</w:t>
      </w:r>
      <w:r w:rsidRPr="00B73404">
        <w:rPr>
          <w:rFonts w:ascii="Arial" w:eastAsiaTheme="minorHAnsi" w:hAnsi="Arial" w:cs="Arial"/>
          <w:color w:val="000000" w:themeColor="text1"/>
          <w:sz w:val="24"/>
          <w:szCs w:val="24"/>
          <w:lang w:eastAsia="en-US"/>
        </w:rPr>
        <w:t xml:space="preserve"> the Lancashire rate remains lower than the national and regional rates.  Lancashire remained in the second quartile nationally against this indicator.  Lancashire youth re-offending levels have also improved but remain higher than t</w:t>
      </w:r>
      <w:r w:rsidR="009A60AA">
        <w:rPr>
          <w:rFonts w:ascii="Arial" w:eastAsiaTheme="minorHAnsi" w:hAnsi="Arial" w:cs="Arial"/>
          <w:color w:val="000000" w:themeColor="text1"/>
          <w:sz w:val="24"/>
          <w:szCs w:val="24"/>
          <w:lang w:eastAsia="en-US"/>
        </w:rPr>
        <w:t xml:space="preserve">he national and regional rates. </w:t>
      </w:r>
      <w:r w:rsidRPr="00B73404">
        <w:rPr>
          <w:rFonts w:ascii="Arial" w:eastAsiaTheme="minorHAnsi" w:hAnsi="Arial" w:cs="Arial"/>
          <w:color w:val="000000" w:themeColor="text1"/>
          <w:sz w:val="24"/>
          <w:szCs w:val="24"/>
          <w:lang w:eastAsia="en-US"/>
        </w:rPr>
        <w:t>Lancashire remained in the third quartile nationally against this indicator.</w:t>
      </w:r>
    </w:p>
    <w:p w:rsidR="00FA05F9" w:rsidRDefault="00FA05F9" w:rsidP="00FA05F9">
      <w:pPr>
        <w:pStyle w:val="NoSpacing"/>
        <w:jc w:val="both"/>
        <w:rPr>
          <w:rFonts w:ascii="Arial" w:eastAsiaTheme="minorHAnsi" w:hAnsi="Arial" w:cs="Arial"/>
          <w:color w:val="000000" w:themeColor="text1"/>
          <w:sz w:val="24"/>
          <w:szCs w:val="24"/>
          <w:lang w:eastAsia="en-US"/>
        </w:rPr>
      </w:pPr>
    </w:p>
    <w:p w:rsidR="00FA05F9" w:rsidRPr="00A87ADF" w:rsidRDefault="009B31E1" w:rsidP="00FA05F9">
      <w:pPr>
        <w:pStyle w:val="No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addition, following a recent joint inspection </w:t>
      </w:r>
      <w:r w:rsidRPr="00A87ADF">
        <w:rPr>
          <w:rFonts w:ascii="Arial" w:hAnsi="Arial" w:cs="Arial"/>
          <w:sz w:val="24"/>
          <w:szCs w:val="24"/>
        </w:rPr>
        <w:t>of youth offending services in Lancashire</w:t>
      </w:r>
      <w:r>
        <w:rPr>
          <w:rFonts w:ascii="Arial" w:hAnsi="Arial" w:cs="Arial"/>
          <w:sz w:val="24"/>
          <w:szCs w:val="24"/>
        </w:rPr>
        <w:t xml:space="preserve"> </w:t>
      </w:r>
      <w:r w:rsidRPr="00A87ADF">
        <w:rPr>
          <w:rFonts w:ascii="Arial" w:eastAsiaTheme="minorHAnsi" w:hAnsi="Arial" w:cs="Arial"/>
          <w:sz w:val="24"/>
          <w:szCs w:val="24"/>
          <w:lang w:eastAsia="en-US"/>
        </w:rPr>
        <w:t>(fieldwork</w:t>
      </w:r>
      <w:r>
        <w:rPr>
          <w:rFonts w:ascii="Arial" w:eastAsiaTheme="minorHAnsi" w:hAnsi="Arial" w:cs="Arial"/>
          <w:sz w:val="24"/>
          <w:szCs w:val="24"/>
          <w:lang w:eastAsia="en-US"/>
        </w:rPr>
        <w:t xml:space="preserve"> started in April with the report published in July)</w:t>
      </w:r>
      <w:r>
        <w:rPr>
          <w:rFonts w:ascii="Arial" w:hAnsi="Arial" w:cs="Arial"/>
          <w:sz w:val="24"/>
          <w:szCs w:val="24"/>
        </w:rPr>
        <w:t>,</w:t>
      </w:r>
      <w:r w:rsidRPr="00A87ADF">
        <w:rPr>
          <w:rFonts w:ascii="Arial" w:hAnsi="Arial" w:cs="Arial"/>
          <w:sz w:val="24"/>
          <w:szCs w:val="24"/>
        </w:rPr>
        <w:t xml:space="preserve"> </w:t>
      </w:r>
      <w:r w:rsidRPr="00A87ADF">
        <w:rPr>
          <w:rFonts w:ascii="Arial" w:eastAsiaTheme="minorHAnsi" w:hAnsi="Arial" w:cs="Arial"/>
          <w:sz w:val="24"/>
          <w:szCs w:val="24"/>
          <w:lang w:eastAsia="en-US"/>
        </w:rPr>
        <w:t xml:space="preserve">Lancashire Youth Offending Team </w:t>
      </w:r>
      <w:r>
        <w:rPr>
          <w:rFonts w:ascii="Arial" w:eastAsiaTheme="minorHAnsi" w:hAnsi="Arial" w:cs="Arial"/>
          <w:sz w:val="24"/>
          <w:szCs w:val="24"/>
          <w:lang w:eastAsia="en-US"/>
        </w:rPr>
        <w:t xml:space="preserve">was rated as </w:t>
      </w:r>
      <w:r w:rsidRPr="00A87ADF">
        <w:rPr>
          <w:rFonts w:ascii="Arial" w:eastAsiaTheme="minorHAnsi" w:hAnsi="Arial" w:cs="Arial"/>
          <w:sz w:val="24"/>
          <w:szCs w:val="24"/>
          <w:lang w:eastAsia="en-US"/>
        </w:rPr>
        <w:t>Good.</w:t>
      </w:r>
      <w:r>
        <w:rPr>
          <w:rFonts w:ascii="Arial" w:eastAsiaTheme="minorHAnsi" w:hAnsi="Arial" w:cs="Arial"/>
          <w:sz w:val="24"/>
          <w:szCs w:val="24"/>
          <w:lang w:eastAsia="en-US"/>
        </w:rPr>
        <w:t xml:space="preserve"> The full inspection report is available at:</w:t>
      </w:r>
    </w:p>
    <w:p w:rsidR="00FA05F9" w:rsidRDefault="005A5945" w:rsidP="00FA05F9">
      <w:pPr>
        <w:rPr>
          <w:rFonts w:cs="Arial"/>
          <w:szCs w:val="24"/>
        </w:rPr>
      </w:pPr>
      <w:hyperlink r:id="rId9" w:history="1">
        <w:r w:rsidR="009B31E1">
          <w:rPr>
            <w:rStyle w:val="Hyperlink"/>
            <w:rFonts w:cs="Arial"/>
            <w:szCs w:val="24"/>
          </w:rPr>
          <w:t>https://www.justiceinspectorates.gov.uk/hmiprobation/inspections/lancashireyot/</w:t>
        </w:r>
      </w:hyperlink>
      <w:r w:rsidR="009B31E1">
        <w:rPr>
          <w:rFonts w:cs="Arial"/>
          <w:szCs w:val="24"/>
        </w:rPr>
        <w:t xml:space="preserve"> </w:t>
      </w:r>
    </w:p>
    <w:p w:rsidR="00FA05F9" w:rsidRDefault="00FA05F9" w:rsidP="00FA05F9">
      <w:pPr>
        <w:pStyle w:val="NoSpacing"/>
        <w:jc w:val="both"/>
        <w:rPr>
          <w:rFonts w:ascii="Arial" w:eastAsiaTheme="minorHAnsi" w:hAnsi="Arial" w:cs="Arial"/>
          <w:color w:val="FF0000"/>
          <w:sz w:val="24"/>
          <w:szCs w:val="24"/>
          <w:lang w:eastAsia="en-US"/>
        </w:rPr>
      </w:pPr>
    </w:p>
    <w:p w:rsidR="00FA05F9" w:rsidRPr="002321A1" w:rsidRDefault="009B31E1" w:rsidP="00FA05F9">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 xml:space="preserve">School Improvement </w:t>
      </w:r>
    </w:p>
    <w:p w:rsidR="00FA05F9" w:rsidRDefault="00FA05F9" w:rsidP="00FA05F9">
      <w:pPr>
        <w:pStyle w:val="NoSpacing"/>
        <w:jc w:val="both"/>
        <w:rPr>
          <w:rFonts w:ascii="Arial" w:eastAsiaTheme="minorHAnsi" w:hAnsi="Arial" w:cs="Arial"/>
          <w:color w:val="000000" w:themeColor="text1"/>
          <w:sz w:val="24"/>
          <w:szCs w:val="24"/>
          <w:lang w:eastAsia="en-US"/>
        </w:rPr>
      </w:pPr>
    </w:p>
    <w:tbl>
      <w:tblPr>
        <w:tblW w:w="9097" w:type="dxa"/>
        <w:tblLook w:val="04A0" w:firstRow="1" w:lastRow="0" w:firstColumn="1" w:lastColumn="0" w:noHBand="0" w:noVBand="1"/>
      </w:tblPr>
      <w:tblGrid>
        <w:gridCol w:w="4215"/>
        <w:gridCol w:w="863"/>
        <w:gridCol w:w="1380"/>
        <w:gridCol w:w="1451"/>
        <w:gridCol w:w="1188"/>
      </w:tblGrid>
      <w:tr w:rsidR="004744FE" w:rsidTr="00FA05F9">
        <w:trPr>
          <w:trHeight w:val="60"/>
        </w:trPr>
        <w:tc>
          <w:tcPr>
            <w:tcW w:w="4215"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FA05F9" w:rsidRPr="00317000" w:rsidRDefault="009B31E1" w:rsidP="00FA05F9">
            <w:pPr>
              <w:rPr>
                <w:rFonts w:cs="Arial"/>
                <w:b/>
                <w:bCs/>
                <w:color w:val="000000" w:themeColor="text1"/>
                <w:sz w:val="18"/>
                <w:szCs w:val="18"/>
              </w:rPr>
            </w:pPr>
            <w:r w:rsidRPr="00317000">
              <w:rPr>
                <w:rFonts w:cs="Arial"/>
                <w:b/>
                <w:bCs/>
                <w:color w:val="000000" w:themeColor="text1"/>
                <w:sz w:val="18"/>
                <w:szCs w:val="18"/>
              </w:rPr>
              <w:t>Performance Measure</w:t>
            </w:r>
          </w:p>
        </w:tc>
        <w:tc>
          <w:tcPr>
            <w:tcW w:w="863" w:type="dxa"/>
            <w:tcBorders>
              <w:top w:val="single" w:sz="4" w:space="0" w:color="auto"/>
              <w:left w:val="nil"/>
              <w:bottom w:val="single" w:sz="8" w:space="0" w:color="auto"/>
              <w:right w:val="single" w:sz="8" w:space="0" w:color="auto"/>
            </w:tcBorders>
            <w:shd w:val="clear" w:color="000000" w:fill="D9D9D9"/>
            <w:vAlign w:val="center"/>
            <w:hideMark/>
          </w:tcPr>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Good is High or Low</w:t>
            </w:r>
          </w:p>
        </w:tc>
        <w:tc>
          <w:tcPr>
            <w:tcW w:w="1380" w:type="dxa"/>
            <w:tcBorders>
              <w:top w:val="single" w:sz="4" w:space="0" w:color="auto"/>
              <w:left w:val="nil"/>
              <w:bottom w:val="single" w:sz="8" w:space="0" w:color="auto"/>
              <w:right w:val="nil"/>
            </w:tcBorders>
            <w:shd w:val="clear" w:color="000000" w:fill="D9D9D9"/>
            <w:noWrap/>
            <w:vAlign w:val="center"/>
            <w:hideMark/>
          </w:tcPr>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Previous</w:t>
            </w:r>
          </w:p>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Period</w:t>
            </w:r>
          </w:p>
        </w:tc>
        <w:tc>
          <w:tcPr>
            <w:tcW w:w="1451" w:type="dxa"/>
            <w:tcBorders>
              <w:top w:val="single" w:sz="4" w:space="0" w:color="auto"/>
              <w:left w:val="single" w:sz="8" w:space="0" w:color="auto"/>
              <w:bottom w:val="single" w:sz="8" w:space="0" w:color="auto"/>
              <w:right w:val="single" w:sz="8" w:space="0" w:color="auto"/>
            </w:tcBorders>
            <w:shd w:val="clear" w:color="000000" w:fill="D9D9D9"/>
            <w:vAlign w:val="center"/>
          </w:tcPr>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Latest Available</w:t>
            </w:r>
          </w:p>
        </w:tc>
        <w:tc>
          <w:tcPr>
            <w:tcW w:w="1188" w:type="dxa"/>
            <w:tcBorders>
              <w:top w:val="single" w:sz="4" w:space="0" w:color="auto"/>
              <w:left w:val="single" w:sz="8" w:space="0" w:color="auto"/>
              <w:bottom w:val="single" w:sz="8" w:space="0" w:color="auto"/>
              <w:right w:val="single" w:sz="8" w:space="0" w:color="auto"/>
            </w:tcBorders>
            <w:shd w:val="clear" w:color="000000" w:fill="D9D9D9"/>
            <w:vAlign w:val="center"/>
          </w:tcPr>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England</w:t>
            </w:r>
          </w:p>
          <w:p w:rsidR="00FA05F9" w:rsidRPr="00317000" w:rsidRDefault="009B31E1" w:rsidP="00FA05F9">
            <w:pPr>
              <w:jc w:val="center"/>
              <w:rPr>
                <w:rFonts w:cs="Arial"/>
                <w:b/>
                <w:bCs/>
                <w:color w:val="000000" w:themeColor="text1"/>
                <w:sz w:val="18"/>
                <w:szCs w:val="18"/>
              </w:rPr>
            </w:pPr>
            <w:r w:rsidRPr="00317000">
              <w:rPr>
                <w:rFonts w:cs="Arial"/>
                <w:b/>
                <w:bCs/>
                <w:color w:val="000000" w:themeColor="text1"/>
                <w:sz w:val="18"/>
                <w:szCs w:val="18"/>
              </w:rPr>
              <w:t>Average</w:t>
            </w:r>
          </w:p>
        </w:tc>
      </w:tr>
      <w:tr w:rsidR="004744FE" w:rsidTr="00FA05F9">
        <w:trPr>
          <w:trHeight w:val="42"/>
        </w:trPr>
        <w:tc>
          <w:tcPr>
            <w:tcW w:w="4215" w:type="dxa"/>
            <w:tcBorders>
              <w:top w:val="nil"/>
              <w:left w:val="single" w:sz="8" w:space="0" w:color="auto"/>
              <w:bottom w:val="single" w:sz="4" w:space="0" w:color="auto"/>
              <w:right w:val="single" w:sz="8" w:space="0" w:color="auto"/>
            </w:tcBorders>
            <w:shd w:val="clear" w:color="auto" w:fill="auto"/>
            <w:vAlign w:val="center"/>
          </w:tcPr>
          <w:p w:rsidR="00FA05F9" w:rsidRPr="00317000" w:rsidRDefault="009B31E1" w:rsidP="00FA05F9">
            <w:pPr>
              <w:rPr>
                <w:rFonts w:cs="Arial"/>
                <w:color w:val="000000" w:themeColor="text1"/>
                <w:sz w:val="18"/>
                <w:szCs w:val="18"/>
              </w:rPr>
            </w:pPr>
            <w:r w:rsidRPr="00317000">
              <w:rPr>
                <w:rFonts w:cs="Arial"/>
                <w:color w:val="000000" w:themeColor="text1"/>
                <w:sz w:val="18"/>
                <w:szCs w:val="18"/>
              </w:rPr>
              <w:t>% permanent exclusion levels in primary, secondary, and special schools</w:t>
            </w:r>
          </w:p>
        </w:tc>
        <w:tc>
          <w:tcPr>
            <w:tcW w:w="863" w:type="dxa"/>
            <w:tcBorders>
              <w:top w:val="nil"/>
              <w:left w:val="nil"/>
              <w:bottom w:val="single" w:sz="4" w:space="0" w:color="auto"/>
              <w:right w:val="single" w:sz="8" w:space="0" w:color="auto"/>
            </w:tcBorders>
            <w:shd w:val="clear" w:color="auto" w:fill="auto"/>
            <w:vAlign w:val="center"/>
          </w:tcPr>
          <w:p w:rsidR="00FA05F9" w:rsidRPr="00317000" w:rsidRDefault="009B31E1" w:rsidP="00FA05F9">
            <w:pPr>
              <w:jc w:val="center"/>
              <w:rPr>
                <w:rFonts w:cs="Arial"/>
                <w:color w:val="000000" w:themeColor="text1"/>
                <w:sz w:val="18"/>
                <w:szCs w:val="18"/>
              </w:rPr>
            </w:pPr>
            <w:r w:rsidRPr="00317000">
              <w:rPr>
                <w:rFonts w:cs="Arial"/>
                <w:color w:val="000000" w:themeColor="text1"/>
                <w:sz w:val="18"/>
                <w:szCs w:val="18"/>
              </w:rPr>
              <w:t>L</w:t>
            </w:r>
          </w:p>
        </w:tc>
        <w:tc>
          <w:tcPr>
            <w:tcW w:w="1380" w:type="dxa"/>
            <w:tcBorders>
              <w:top w:val="nil"/>
              <w:left w:val="nil"/>
              <w:bottom w:val="single" w:sz="4" w:space="0" w:color="auto"/>
              <w:right w:val="single" w:sz="8" w:space="0" w:color="auto"/>
            </w:tcBorders>
            <w:shd w:val="clear" w:color="auto" w:fill="FF0000"/>
            <w:noWrap/>
            <w:vAlign w:val="center"/>
          </w:tcPr>
          <w:p w:rsidR="00FA05F9" w:rsidRPr="00317000" w:rsidRDefault="009B31E1" w:rsidP="00FA05F9">
            <w:pPr>
              <w:jc w:val="center"/>
              <w:rPr>
                <w:color w:val="000000" w:themeColor="text1"/>
                <w:sz w:val="18"/>
                <w:szCs w:val="18"/>
              </w:rPr>
            </w:pPr>
            <w:r w:rsidRPr="00D50643">
              <w:rPr>
                <w:color w:val="FFFFFF" w:themeColor="background1"/>
                <w:sz w:val="18"/>
                <w:szCs w:val="18"/>
              </w:rPr>
              <w:t>0.21% (2016/17)</w:t>
            </w:r>
          </w:p>
        </w:tc>
        <w:tc>
          <w:tcPr>
            <w:tcW w:w="1451" w:type="dxa"/>
            <w:tcBorders>
              <w:top w:val="nil"/>
              <w:left w:val="nil"/>
              <w:bottom w:val="single" w:sz="8" w:space="0" w:color="auto"/>
              <w:right w:val="single" w:sz="4" w:space="0" w:color="auto"/>
            </w:tcBorders>
            <w:shd w:val="clear" w:color="auto" w:fill="FF0000"/>
            <w:vAlign w:val="center"/>
          </w:tcPr>
          <w:p w:rsidR="00FA05F9" w:rsidRPr="00317000" w:rsidRDefault="009B31E1" w:rsidP="00FA05F9">
            <w:pPr>
              <w:jc w:val="center"/>
              <w:rPr>
                <w:color w:val="000000" w:themeColor="text1"/>
                <w:sz w:val="18"/>
                <w:szCs w:val="18"/>
              </w:rPr>
            </w:pPr>
            <w:r w:rsidRPr="001368FF">
              <w:rPr>
                <w:color w:val="FFFFFF" w:themeColor="background1"/>
                <w:sz w:val="18"/>
                <w:szCs w:val="18"/>
              </w:rPr>
              <w:t>0.19% (2017/18)</w:t>
            </w:r>
          </w:p>
        </w:tc>
        <w:tc>
          <w:tcPr>
            <w:tcW w:w="1188" w:type="dxa"/>
            <w:tcBorders>
              <w:top w:val="nil"/>
              <w:left w:val="single" w:sz="4" w:space="0" w:color="auto"/>
              <w:bottom w:val="single" w:sz="8" w:space="0" w:color="auto"/>
              <w:right w:val="single" w:sz="8" w:space="0" w:color="auto"/>
            </w:tcBorders>
            <w:shd w:val="clear" w:color="000000" w:fill="FFFFFF"/>
            <w:vAlign w:val="center"/>
          </w:tcPr>
          <w:p w:rsidR="00FA05F9" w:rsidRPr="00317000" w:rsidRDefault="009B31E1" w:rsidP="00FA05F9">
            <w:pPr>
              <w:jc w:val="center"/>
              <w:rPr>
                <w:color w:val="000000" w:themeColor="text1"/>
                <w:sz w:val="18"/>
                <w:szCs w:val="18"/>
              </w:rPr>
            </w:pPr>
            <w:r w:rsidRPr="00317000">
              <w:rPr>
                <w:color w:val="000000" w:themeColor="text1"/>
                <w:sz w:val="18"/>
                <w:szCs w:val="18"/>
              </w:rPr>
              <w:t>0.10%</w:t>
            </w:r>
          </w:p>
        </w:tc>
      </w:tr>
      <w:tr w:rsidR="004744FE" w:rsidTr="00FA05F9">
        <w:trPr>
          <w:trHeight w:val="42"/>
        </w:trPr>
        <w:tc>
          <w:tcPr>
            <w:tcW w:w="4215" w:type="dxa"/>
            <w:tcBorders>
              <w:top w:val="nil"/>
              <w:left w:val="single" w:sz="8" w:space="0" w:color="auto"/>
              <w:bottom w:val="single" w:sz="4" w:space="0" w:color="auto"/>
              <w:right w:val="single" w:sz="8" w:space="0" w:color="auto"/>
            </w:tcBorders>
            <w:shd w:val="clear" w:color="auto" w:fill="auto"/>
            <w:vAlign w:val="center"/>
          </w:tcPr>
          <w:p w:rsidR="00FA05F9" w:rsidRPr="00317000" w:rsidRDefault="009B31E1" w:rsidP="00FA05F9">
            <w:pPr>
              <w:rPr>
                <w:rFonts w:cs="Arial"/>
                <w:color w:val="000000" w:themeColor="text1"/>
                <w:sz w:val="18"/>
                <w:szCs w:val="18"/>
              </w:rPr>
            </w:pPr>
            <w:r w:rsidRPr="00317000">
              <w:rPr>
                <w:rFonts w:cs="Arial"/>
                <w:color w:val="000000" w:themeColor="text1"/>
                <w:sz w:val="18"/>
                <w:szCs w:val="18"/>
              </w:rPr>
              <w:t>% fixed period exclusion levels in primary, secondary, and special schools</w:t>
            </w:r>
          </w:p>
        </w:tc>
        <w:tc>
          <w:tcPr>
            <w:tcW w:w="863" w:type="dxa"/>
            <w:tcBorders>
              <w:top w:val="nil"/>
              <w:left w:val="nil"/>
              <w:bottom w:val="single" w:sz="4" w:space="0" w:color="auto"/>
              <w:right w:val="single" w:sz="8" w:space="0" w:color="auto"/>
            </w:tcBorders>
            <w:shd w:val="clear" w:color="auto" w:fill="auto"/>
            <w:vAlign w:val="center"/>
          </w:tcPr>
          <w:p w:rsidR="00FA05F9" w:rsidRPr="00317000" w:rsidRDefault="009B31E1" w:rsidP="00FA05F9">
            <w:pPr>
              <w:jc w:val="center"/>
              <w:rPr>
                <w:rFonts w:cs="Arial"/>
                <w:color w:val="000000" w:themeColor="text1"/>
                <w:sz w:val="18"/>
                <w:szCs w:val="18"/>
              </w:rPr>
            </w:pPr>
            <w:r w:rsidRPr="00317000">
              <w:rPr>
                <w:rFonts w:cs="Arial"/>
                <w:color w:val="000000" w:themeColor="text1"/>
                <w:sz w:val="18"/>
                <w:szCs w:val="18"/>
              </w:rPr>
              <w:t>H</w:t>
            </w:r>
          </w:p>
        </w:tc>
        <w:tc>
          <w:tcPr>
            <w:tcW w:w="1380" w:type="dxa"/>
            <w:tcBorders>
              <w:top w:val="nil"/>
              <w:left w:val="nil"/>
              <w:bottom w:val="single" w:sz="4" w:space="0" w:color="auto"/>
              <w:right w:val="single" w:sz="8" w:space="0" w:color="auto"/>
            </w:tcBorders>
            <w:shd w:val="clear" w:color="auto" w:fill="C5E0B3" w:themeFill="accent6" w:themeFillTint="66"/>
            <w:noWrap/>
            <w:vAlign w:val="center"/>
          </w:tcPr>
          <w:p w:rsidR="00FA05F9" w:rsidRPr="00317000" w:rsidRDefault="009B31E1" w:rsidP="00FA05F9">
            <w:pPr>
              <w:jc w:val="center"/>
              <w:rPr>
                <w:color w:val="000000" w:themeColor="text1"/>
                <w:sz w:val="18"/>
                <w:szCs w:val="18"/>
              </w:rPr>
            </w:pPr>
            <w:r w:rsidRPr="00317000">
              <w:rPr>
                <w:color w:val="000000" w:themeColor="text1"/>
                <w:sz w:val="18"/>
                <w:szCs w:val="18"/>
              </w:rPr>
              <w:t>4.42% (2016/17)</w:t>
            </w:r>
          </w:p>
        </w:tc>
        <w:tc>
          <w:tcPr>
            <w:tcW w:w="1451" w:type="dxa"/>
            <w:tcBorders>
              <w:top w:val="nil"/>
              <w:left w:val="nil"/>
              <w:bottom w:val="single" w:sz="8" w:space="0" w:color="auto"/>
              <w:right w:val="single" w:sz="4" w:space="0" w:color="auto"/>
            </w:tcBorders>
            <w:shd w:val="clear" w:color="auto" w:fill="C5E0B3" w:themeFill="accent6" w:themeFillTint="66"/>
            <w:vAlign w:val="center"/>
          </w:tcPr>
          <w:p w:rsidR="00FA05F9" w:rsidRPr="00317000" w:rsidRDefault="009B31E1" w:rsidP="00FA05F9">
            <w:pPr>
              <w:jc w:val="center"/>
              <w:rPr>
                <w:color w:val="000000" w:themeColor="text1"/>
                <w:sz w:val="18"/>
                <w:szCs w:val="18"/>
              </w:rPr>
            </w:pPr>
            <w:r w:rsidRPr="00317000">
              <w:rPr>
                <w:color w:val="000000" w:themeColor="text1"/>
                <w:sz w:val="18"/>
                <w:szCs w:val="18"/>
              </w:rPr>
              <w:t>4.36% (2017/18)</w:t>
            </w:r>
          </w:p>
        </w:tc>
        <w:tc>
          <w:tcPr>
            <w:tcW w:w="1188" w:type="dxa"/>
            <w:tcBorders>
              <w:top w:val="nil"/>
              <w:left w:val="single" w:sz="4" w:space="0" w:color="auto"/>
              <w:bottom w:val="single" w:sz="8" w:space="0" w:color="auto"/>
              <w:right w:val="single" w:sz="8" w:space="0" w:color="auto"/>
            </w:tcBorders>
            <w:shd w:val="clear" w:color="000000" w:fill="FFFFFF"/>
            <w:vAlign w:val="center"/>
          </w:tcPr>
          <w:p w:rsidR="00FA05F9" w:rsidRPr="00317000" w:rsidRDefault="009B31E1" w:rsidP="00FA05F9">
            <w:pPr>
              <w:jc w:val="center"/>
              <w:rPr>
                <w:color w:val="000000" w:themeColor="text1"/>
                <w:sz w:val="18"/>
                <w:szCs w:val="18"/>
              </w:rPr>
            </w:pPr>
            <w:r w:rsidRPr="00317000">
              <w:rPr>
                <w:color w:val="000000" w:themeColor="text1"/>
                <w:sz w:val="18"/>
                <w:szCs w:val="18"/>
              </w:rPr>
              <w:t>5.08%</w:t>
            </w:r>
          </w:p>
        </w:tc>
      </w:tr>
      <w:tr w:rsidR="004744FE" w:rsidTr="00FA05F9">
        <w:trPr>
          <w:trHeight w:val="42"/>
        </w:trPr>
        <w:tc>
          <w:tcPr>
            <w:tcW w:w="4215" w:type="dxa"/>
            <w:tcBorders>
              <w:top w:val="nil"/>
              <w:left w:val="single" w:sz="8" w:space="0" w:color="auto"/>
              <w:bottom w:val="single" w:sz="4" w:space="0" w:color="auto"/>
              <w:right w:val="single" w:sz="8" w:space="0" w:color="auto"/>
            </w:tcBorders>
            <w:vAlign w:val="center"/>
          </w:tcPr>
          <w:p w:rsidR="00FA05F9" w:rsidRPr="00B6515F" w:rsidRDefault="009B31E1" w:rsidP="00FA05F9">
            <w:pPr>
              <w:rPr>
                <w:rFonts w:cs="Arial"/>
                <w:color w:val="000000" w:themeColor="text1"/>
                <w:sz w:val="18"/>
                <w:szCs w:val="18"/>
              </w:rPr>
            </w:pPr>
            <w:r w:rsidRPr="00B6515F">
              <w:rPr>
                <w:color w:val="000000" w:themeColor="text1"/>
                <w:sz w:val="18"/>
                <w:szCs w:val="18"/>
              </w:rPr>
              <w:t>% Education settings rated Good/Outstanding</w:t>
            </w:r>
          </w:p>
        </w:tc>
        <w:tc>
          <w:tcPr>
            <w:tcW w:w="863" w:type="dxa"/>
            <w:tcBorders>
              <w:top w:val="nil"/>
              <w:left w:val="nil"/>
              <w:bottom w:val="single" w:sz="4" w:space="0" w:color="auto"/>
              <w:right w:val="single" w:sz="8" w:space="0" w:color="auto"/>
            </w:tcBorders>
            <w:vAlign w:val="center"/>
          </w:tcPr>
          <w:p w:rsidR="00FA05F9" w:rsidRPr="00B6515F" w:rsidRDefault="009B31E1" w:rsidP="00FA05F9">
            <w:pPr>
              <w:jc w:val="center"/>
              <w:rPr>
                <w:rFonts w:cs="Arial"/>
                <w:color w:val="000000" w:themeColor="text1"/>
                <w:sz w:val="18"/>
                <w:szCs w:val="18"/>
              </w:rPr>
            </w:pPr>
            <w:r w:rsidRPr="00B6515F">
              <w:rPr>
                <w:color w:val="000000" w:themeColor="text1"/>
                <w:sz w:val="18"/>
                <w:szCs w:val="18"/>
              </w:rPr>
              <w:t>H</w:t>
            </w:r>
          </w:p>
        </w:tc>
        <w:tc>
          <w:tcPr>
            <w:tcW w:w="1380" w:type="dxa"/>
            <w:tcBorders>
              <w:top w:val="nil"/>
              <w:left w:val="nil"/>
              <w:bottom w:val="single" w:sz="4" w:space="0" w:color="auto"/>
              <w:right w:val="single" w:sz="8" w:space="0" w:color="auto"/>
            </w:tcBorders>
            <w:shd w:val="clear" w:color="auto" w:fill="C5E0B3" w:themeFill="accent6" w:themeFillTint="66"/>
            <w:noWrap/>
            <w:vAlign w:val="center"/>
          </w:tcPr>
          <w:p w:rsidR="00FA05F9" w:rsidRPr="00B6515F" w:rsidRDefault="009B31E1" w:rsidP="00FA05F9">
            <w:pPr>
              <w:jc w:val="center"/>
              <w:rPr>
                <w:color w:val="000000" w:themeColor="text1"/>
                <w:sz w:val="18"/>
                <w:szCs w:val="18"/>
              </w:rPr>
            </w:pPr>
            <w:r w:rsidRPr="00B6515F">
              <w:rPr>
                <w:color w:val="000000" w:themeColor="text1"/>
                <w:sz w:val="18"/>
                <w:szCs w:val="18"/>
              </w:rPr>
              <w:t>90.3%</w:t>
            </w:r>
          </w:p>
          <w:p w:rsidR="00FA05F9" w:rsidRPr="00B6515F" w:rsidRDefault="009B31E1" w:rsidP="00FA05F9">
            <w:pPr>
              <w:jc w:val="center"/>
              <w:rPr>
                <w:rFonts w:cs="Arial"/>
                <w:color w:val="000000" w:themeColor="text1"/>
                <w:sz w:val="18"/>
                <w:szCs w:val="18"/>
              </w:rPr>
            </w:pPr>
            <w:r w:rsidRPr="00B6515F">
              <w:rPr>
                <w:color w:val="000000" w:themeColor="text1"/>
                <w:sz w:val="18"/>
                <w:szCs w:val="18"/>
              </w:rPr>
              <w:t>(June 18)</w:t>
            </w:r>
          </w:p>
        </w:tc>
        <w:tc>
          <w:tcPr>
            <w:tcW w:w="1451" w:type="dxa"/>
            <w:tcBorders>
              <w:top w:val="nil"/>
              <w:left w:val="nil"/>
              <w:bottom w:val="single" w:sz="4" w:space="0" w:color="auto"/>
              <w:right w:val="single" w:sz="4" w:space="0" w:color="auto"/>
            </w:tcBorders>
            <w:shd w:val="clear" w:color="auto" w:fill="C5E0B3" w:themeFill="accent6" w:themeFillTint="66"/>
            <w:vAlign w:val="center"/>
          </w:tcPr>
          <w:p w:rsidR="00FA05F9" w:rsidRPr="00B6515F" w:rsidRDefault="009B31E1" w:rsidP="00FA05F9">
            <w:pPr>
              <w:jc w:val="center"/>
              <w:rPr>
                <w:color w:val="000000" w:themeColor="text1"/>
                <w:sz w:val="18"/>
                <w:szCs w:val="18"/>
              </w:rPr>
            </w:pPr>
            <w:r w:rsidRPr="00B6515F">
              <w:rPr>
                <w:color w:val="000000" w:themeColor="text1"/>
                <w:sz w:val="18"/>
                <w:szCs w:val="18"/>
              </w:rPr>
              <w:t>89.</w:t>
            </w:r>
            <w:r>
              <w:rPr>
                <w:color w:val="000000" w:themeColor="text1"/>
                <w:sz w:val="18"/>
                <w:szCs w:val="18"/>
              </w:rPr>
              <w:t>8</w:t>
            </w:r>
            <w:r w:rsidRPr="00B6515F">
              <w:rPr>
                <w:color w:val="000000" w:themeColor="text1"/>
                <w:sz w:val="18"/>
                <w:szCs w:val="18"/>
              </w:rPr>
              <w:t>%</w:t>
            </w:r>
          </w:p>
          <w:p w:rsidR="00FA05F9" w:rsidRPr="00B6515F" w:rsidRDefault="009B31E1" w:rsidP="00FA05F9">
            <w:pPr>
              <w:jc w:val="center"/>
              <w:rPr>
                <w:color w:val="000000" w:themeColor="text1"/>
                <w:sz w:val="18"/>
                <w:szCs w:val="18"/>
              </w:rPr>
            </w:pPr>
            <w:r w:rsidRPr="00B6515F">
              <w:rPr>
                <w:color w:val="000000" w:themeColor="text1"/>
                <w:sz w:val="18"/>
                <w:szCs w:val="18"/>
              </w:rPr>
              <w:t>(</w:t>
            </w:r>
            <w:r>
              <w:rPr>
                <w:color w:val="000000" w:themeColor="text1"/>
                <w:sz w:val="18"/>
                <w:szCs w:val="18"/>
              </w:rPr>
              <w:t>Jun</w:t>
            </w:r>
            <w:r w:rsidRPr="00B6515F">
              <w:rPr>
                <w:color w:val="000000" w:themeColor="text1"/>
                <w:sz w:val="18"/>
                <w:szCs w:val="18"/>
              </w:rPr>
              <w:t xml:space="preserve"> 19)</w:t>
            </w:r>
          </w:p>
        </w:tc>
        <w:tc>
          <w:tcPr>
            <w:tcW w:w="1188" w:type="dxa"/>
            <w:tcBorders>
              <w:top w:val="nil"/>
              <w:left w:val="single" w:sz="4" w:space="0" w:color="auto"/>
              <w:bottom w:val="single" w:sz="4" w:space="0" w:color="auto"/>
              <w:right w:val="single" w:sz="8" w:space="0" w:color="auto"/>
            </w:tcBorders>
            <w:shd w:val="clear" w:color="auto" w:fill="FFFFFF"/>
            <w:vAlign w:val="center"/>
          </w:tcPr>
          <w:p w:rsidR="00FA05F9" w:rsidRPr="00B6515F" w:rsidRDefault="009B31E1" w:rsidP="00FA05F9">
            <w:pPr>
              <w:jc w:val="center"/>
              <w:rPr>
                <w:color w:val="000000" w:themeColor="text1"/>
                <w:sz w:val="18"/>
                <w:szCs w:val="18"/>
              </w:rPr>
            </w:pPr>
            <w:r w:rsidRPr="00B6515F">
              <w:rPr>
                <w:color w:val="000000" w:themeColor="text1"/>
                <w:sz w:val="18"/>
                <w:szCs w:val="18"/>
              </w:rPr>
              <w:t>8</w:t>
            </w:r>
            <w:r>
              <w:rPr>
                <w:color w:val="000000" w:themeColor="text1"/>
                <w:sz w:val="18"/>
                <w:szCs w:val="18"/>
              </w:rPr>
              <w:t>6</w:t>
            </w:r>
            <w:r w:rsidRPr="00B6515F">
              <w:rPr>
                <w:color w:val="000000" w:themeColor="text1"/>
                <w:sz w:val="18"/>
                <w:szCs w:val="18"/>
              </w:rPr>
              <w:t>.0%</w:t>
            </w:r>
          </w:p>
          <w:p w:rsidR="00FA05F9" w:rsidRPr="00B6515F" w:rsidRDefault="009B31E1" w:rsidP="00FA05F9">
            <w:pPr>
              <w:jc w:val="center"/>
              <w:rPr>
                <w:rFonts w:cs="Arial"/>
                <w:color w:val="000000" w:themeColor="text1"/>
                <w:sz w:val="18"/>
                <w:szCs w:val="18"/>
              </w:rPr>
            </w:pPr>
            <w:r w:rsidRPr="00B6515F">
              <w:rPr>
                <w:color w:val="000000" w:themeColor="text1"/>
                <w:sz w:val="18"/>
                <w:szCs w:val="18"/>
              </w:rPr>
              <w:t>(</w:t>
            </w:r>
            <w:r>
              <w:rPr>
                <w:color w:val="000000" w:themeColor="text1"/>
                <w:sz w:val="18"/>
                <w:szCs w:val="18"/>
              </w:rPr>
              <w:t>Jun</w:t>
            </w:r>
            <w:r w:rsidRPr="00B6515F">
              <w:rPr>
                <w:color w:val="000000" w:themeColor="text1"/>
                <w:sz w:val="18"/>
                <w:szCs w:val="18"/>
              </w:rPr>
              <w:t xml:space="preserve"> 19)</w:t>
            </w:r>
          </w:p>
        </w:tc>
      </w:tr>
    </w:tbl>
    <w:p w:rsidR="00FA05F9" w:rsidRPr="00F525F5" w:rsidRDefault="00FA05F9" w:rsidP="00FA05F9">
      <w:pPr>
        <w:pStyle w:val="NoSpacing"/>
        <w:rPr>
          <w:rFonts w:ascii="Arial" w:eastAsiaTheme="minorHAnsi" w:hAnsi="Arial" w:cs="Arial"/>
          <w:i/>
          <w:color w:val="FF0000"/>
          <w:sz w:val="24"/>
          <w:szCs w:val="24"/>
          <w:lang w:eastAsia="en-US"/>
        </w:rPr>
      </w:pPr>
    </w:p>
    <w:p w:rsidR="00FA05F9" w:rsidRPr="00F525F5" w:rsidRDefault="009B31E1" w:rsidP="009A60AA">
      <w:pPr>
        <w:pStyle w:val="NoSpacing"/>
        <w:jc w:val="both"/>
        <w:rPr>
          <w:rFonts w:ascii="Arial" w:eastAsiaTheme="minorHAnsi" w:hAnsi="Arial" w:cs="Arial"/>
          <w:color w:val="FF0000"/>
          <w:sz w:val="24"/>
          <w:szCs w:val="24"/>
          <w:lang w:eastAsia="en-US"/>
        </w:rPr>
      </w:pPr>
      <w:r w:rsidRPr="00275350">
        <w:rPr>
          <w:rFonts w:ascii="Arial" w:eastAsiaTheme="minorHAnsi" w:hAnsi="Arial" w:cs="Arial"/>
          <w:color w:val="000000" w:themeColor="text1"/>
          <w:sz w:val="24"/>
          <w:szCs w:val="24"/>
          <w:lang w:eastAsia="en-US"/>
        </w:rPr>
        <w:t>Statistics published by the Department for Education for 2017/18 shows an improvement in the proportion of permanent</w:t>
      </w:r>
      <w:r>
        <w:rPr>
          <w:rFonts w:ascii="Arial" w:eastAsiaTheme="minorHAnsi" w:hAnsi="Arial" w:cs="Arial"/>
          <w:color w:val="000000" w:themeColor="text1"/>
          <w:sz w:val="24"/>
          <w:szCs w:val="24"/>
          <w:lang w:eastAsia="en-US"/>
        </w:rPr>
        <w:t xml:space="preserve"> and fixed term</w:t>
      </w:r>
      <w:r w:rsidRPr="00275350">
        <w:rPr>
          <w:rFonts w:ascii="Arial" w:eastAsiaTheme="minorHAnsi" w:hAnsi="Arial" w:cs="Arial"/>
          <w:color w:val="000000" w:themeColor="text1"/>
          <w:sz w:val="24"/>
          <w:szCs w:val="24"/>
          <w:lang w:eastAsia="en-US"/>
        </w:rPr>
        <w:t xml:space="preserve"> exclusion</w:t>
      </w:r>
      <w:r>
        <w:rPr>
          <w:rFonts w:ascii="Arial" w:eastAsiaTheme="minorHAnsi" w:hAnsi="Arial" w:cs="Arial"/>
          <w:color w:val="000000" w:themeColor="text1"/>
          <w:sz w:val="24"/>
          <w:szCs w:val="24"/>
          <w:lang w:eastAsia="en-US"/>
        </w:rPr>
        <w:t>s</w:t>
      </w:r>
      <w:r w:rsidRPr="00275350">
        <w:rPr>
          <w:rFonts w:ascii="Arial" w:eastAsiaTheme="minorHAnsi" w:hAnsi="Arial" w:cs="Arial"/>
          <w:color w:val="000000" w:themeColor="text1"/>
          <w:sz w:val="24"/>
          <w:szCs w:val="24"/>
          <w:lang w:eastAsia="en-US"/>
        </w:rPr>
        <w:t xml:space="preserve"> in Lancashire schools</w:t>
      </w:r>
      <w:r>
        <w:rPr>
          <w:rFonts w:ascii="Arial" w:eastAsiaTheme="minorHAnsi" w:hAnsi="Arial" w:cs="Arial"/>
          <w:color w:val="000000" w:themeColor="text1"/>
          <w:sz w:val="24"/>
          <w:szCs w:val="24"/>
          <w:lang w:eastAsia="en-US"/>
        </w:rPr>
        <w:t>.</w:t>
      </w:r>
      <w:r w:rsidRPr="00275350">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 xml:space="preserve"> H</w:t>
      </w:r>
      <w:r w:rsidRPr="00275350">
        <w:rPr>
          <w:rFonts w:ascii="Arial" w:eastAsiaTheme="minorHAnsi" w:hAnsi="Arial" w:cs="Arial"/>
          <w:color w:val="000000" w:themeColor="text1"/>
          <w:sz w:val="24"/>
          <w:szCs w:val="24"/>
          <w:lang w:eastAsia="en-US"/>
        </w:rPr>
        <w:t>owever th</w:t>
      </w:r>
      <w:r>
        <w:rPr>
          <w:rFonts w:ascii="Arial" w:eastAsiaTheme="minorHAnsi" w:hAnsi="Arial" w:cs="Arial"/>
          <w:color w:val="000000" w:themeColor="text1"/>
          <w:sz w:val="24"/>
          <w:szCs w:val="24"/>
          <w:lang w:eastAsia="en-US"/>
        </w:rPr>
        <w:t xml:space="preserve">e permanent exclusion rate (0.19%) remained higher than the national </w:t>
      </w:r>
      <w:r w:rsidRPr="00317000">
        <w:rPr>
          <w:rFonts w:ascii="Arial" w:eastAsiaTheme="minorHAnsi" w:hAnsi="Arial" w:cs="Arial"/>
          <w:color w:val="000000" w:themeColor="text1"/>
          <w:sz w:val="24"/>
          <w:szCs w:val="24"/>
          <w:lang w:eastAsia="en-US"/>
        </w:rPr>
        <w:t xml:space="preserve">(0.10%), regional (0.13%) and statistical neighbours (0.11%) averages. Lancashire was positioned in the bottom quartile and ranked 139 of 152 authorities against this indicator.  </w:t>
      </w:r>
      <w:r>
        <w:rPr>
          <w:rFonts w:ascii="Arial" w:eastAsiaTheme="minorHAnsi" w:hAnsi="Arial" w:cs="Arial"/>
          <w:color w:val="000000" w:themeColor="text1"/>
          <w:sz w:val="24"/>
          <w:szCs w:val="24"/>
          <w:lang w:eastAsia="en-US"/>
        </w:rPr>
        <w:t xml:space="preserve">The fixed term exclusion rate (4.36%) remained lower than the </w:t>
      </w:r>
      <w:r>
        <w:rPr>
          <w:rFonts w:ascii="Arial" w:eastAsiaTheme="minorHAnsi" w:hAnsi="Arial" w:cs="Arial"/>
          <w:color w:val="000000" w:themeColor="text1"/>
          <w:sz w:val="24"/>
          <w:szCs w:val="24"/>
          <w:lang w:eastAsia="en-US"/>
        </w:rPr>
        <w:lastRenderedPageBreak/>
        <w:t xml:space="preserve">national </w:t>
      </w:r>
      <w:r w:rsidRPr="00317000">
        <w:rPr>
          <w:rFonts w:ascii="Arial" w:eastAsiaTheme="minorHAnsi" w:hAnsi="Arial" w:cs="Arial"/>
          <w:color w:val="000000" w:themeColor="text1"/>
          <w:sz w:val="24"/>
          <w:szCs w:val="24"/>
          <w:lang w:eastAsia="en-US"/>
        </w:rPr>
        <w:t>(</w:t>
      </w:r>
      <w:r>
        <w:rPr>
          <w:rFonts w:ascii="Arial" w:eastAsiaTheme="minorHAnsi" w:hAnsi="Arial" w:cs="Arial"/>
          <w:color w:val="000000" w:themeColor="text1"/>
          <w:sz w:val="24"/>
          <w:szCs w:val="24"/>
          <w:lang w:eastAsia="en-US"/>
        </w:rPr>
        <w:t>5.08</w:t>
      </w:r>
      <w:r w:rsidRPr="00317000">
        <w:rPr>
          <w:rFonts w:ascii="Arial" w:eastAsiaTheme="minorHAnsi" w:hAnsi="Arial" w:cs="Arial"/>
          <w:color w:val="000000" w:themeColor="text1"/>
          <w:sz w:val="24"/>
          <w:szCs w:val="24"/>
          <w:lang w:eastAsia="en-US"/>
        </w:rPr>
        <w:t>%), regional (</w:t>
      </w:r>
      <w:r>
        <w:rPr>
          <w:rFonts w:ascii="Arial" w:eastAsiaTheme="minorHAnsi" w:hAnsi="Arial" w:cs="Arial"/>
          <w:color w:val="000000" w:themeColor="text1"/>
          <w:sz w:val="24"/>
          <w:szCs w:val="24"/>
          <w:lang w:eastAsia="en-US"/>
        </w:rPr>
        <w:t>4.69</w:t>
      </w:r>
      <w:r w:rsidRPr="00317000">
        <w:rPr>
          <w:rFonts w:ascii="Arial" w:eastAsiaTheme="minorHAnsi" w:hAnsi="Arial" w:cs="Arial"/>
          <w:color w:val="000000" w:themeColor="text1"/>
          <w:sz w:val="24"/>
          <w:szCs w:val="24"/>
          <w:lang w:eastAsia="en-US"/>
        </w:rPr>
        <w:t>%) and statistical neighbours (</w:t>
      </w:r>
      <w:r>
        <w:rPr>
          <w:rFonts w:ascii="Arial" w:eastAsiaTheme="minorHAnsi" w:hAnsi="Arial" w:cs="Arial"/>
          <w:color w:val="000000" w:themeColor="text1"/>
          <w:sz w:val="24"/>
          <w:szCs w:val="24"/>
          <w:lang w:eastAsia="en-US"/>
        </w:rPr>
        <w:t>5.92</w:t>
      </w:r>
      <w:r w:rsidRPr="00317000">
        <w:rPr>
          <w:rFonts w:ascii="Arial" w:eastAsiaTheme="minorHAnsi" w:hAnsi="Arial" w:cs="Arial"/>
          <w:color w:val="000000" w:themeColor="text1"/>
          <w:sz w:val="24"/>
          <w:szCs w:val="24"/>
          <w:lang w:eastAsia="en-US"/>
        </w:rPr>
        <w:t xml:space="preserve">%) averages. Lancashire was positioned in the </w:t>
      </w:r>
      <w:r>
        <w:rPr>
          <w:rFonts w:ascii="Arial" w:eastAsiaTheme="minorHAnsi" w:hAnsi="Arial" w:cs="Arial"/>
          <w:color w:val="000000" w:themeColor="text1"/>
          <w:sz w:val="24"/>
          <w:szCs w:val="24"/>
          <w:lang w:eastAsia="en-US"/>
        </w:rPr>
        <w:t>second quartile</w:t>
      </w:r>
      <w:r w:rsidRPr="00317000">
        <w:rPr>
          <w:rFonts w:ascii="Arial" w:eastAsiaTheme="minorHAnsi" w:hAnsi="Arial" w:cs="Arial"/>
          <w:color w:val="000000" w:themeColor="text1"/>
          <w:sz w:val="24"/>
          <w:szCs w:val="24"/>
          <w:lang w:eastAsia="en-US"/>
        </w:rPr>
        <w:t xml:space="preserve"> and ranked </w:t>
      </w:r>
      <w:r>
        <w:rPr>
          <w:rFonts w:ascii="Arial" w:eastAsiaTheme="minorHAnsi" w:hAnsi="Arial" w:cs="Arial"/>
          <w:color w:val="000000" w:themeColor="text1"/>
          <w:sz w:val="24"/>
          <w:szCs w:val="24"/>
          <w:lang w:eastAsia="en-US"/>
        </w:rPr>
        <w:t>63</w:t>
      </w:r>
      <w:r w:rsidRPr="00317000">
        <w:rPr>
          <w:rFonts w:ascii="Arial" w:eastAsiaTheme="minorHAnsi" w:hAnsi="Arial" w:cs="Arial"/>
          <w:color w:val="000000" w:themeColor="text1"/>
          <w:sz w:val="24"/>
          <w:szCs w:val="24"/>
          <w:lang w:eastAsia="en-US"/>
        </w:rPr>
        <w:t xml:space="preserve"> of 152 authorities against this indicator.  </w:t>
      </w:r>
    </w:p>
    <w:p w:rsidR="00FA05F9" w:rsidRPr="00F525F5" w:rsidRDefault="00FA05F9" w:rsidP="009A60AA">
      <w:pPr>
        <w:jc w:val="both"/>
        <w:rPr>
          <w:b/>
          <w:color w:val="FF0000"/>
        </w:rPr>
      </w:pPr>
    </w:p>
    <w:p w:rsidR="00FA05F9" w:rsidRPr="00B6515F" w:rsidRDefault="009B31E1" w:rsidP="009A60AA">
      <w:pPr>
        <w:pStyle w:val="NoSpacing"/>
        <w:jc w:val="both"/>
        <w:rPr>
          <w:rFonts w:ascii="Arial" w:eastAsiaTheme="minorHAnsi" w:hAnsi="Arial" w:cs="Arial"/>
          <w:color w:val="000000" w:themeColor="text1"/>
          <w:sz w:val="24"/>
          <w:szCs w:val="24"/>
          <w:lang w:eastAsia="en-US"/>
        </w:rPr>
      </w:pPr>
      <w:r w:rsidRPr="00B6515F">
        <w:rPr>
          <w:rFonts w:ascii="Arial" w:eastAsiaTheme="minorHAnsi" w:hAnsi="Arial" w:cs="Arial"/>
          <w:color w:val="000000" w:themeColor="text1"/>
          <w:sz w:val="24"/>
          <w:szCs w:val="24"/>
          <w:lang w:eastAsia="en-US"/>
        </w:rPr>
        <w:t>The number of schools judged to be good or better has consistently been above the national average in recent years (56</w:t>
      </w:r>
      <w:r>
        <w:rPr>
          <w:rFonts w:ascii="Arial" w:eastAsiaTheme="minorHAnsi" w:hAnsi="Arial" w:cs="Arial"/>
          <w:color w:val="000000" w:themeColor="text1"/>
          <w:sz w:val="24"/>
          <w:szCs w:val="24"/>
          <w:lang w:eastAsia="en-US"/>
        </w:rPr>
        <w:t>7</w:t>
      </w:r>
      <w:r w:rsidRPr="00B6515F">
        <w:rPr>
          <w:rFonts w:ascii="Arial" w:eastAsiaTheme="minorHAnsi" w:hAnsi="Arial" w:cs="Arial"/>
          <w:color w:val="000000" w:themeColor="text1"/>
          <w:sz w:val="24"/>
          <w:szCs w:val="24"/>
          <w:lang w:eastAsia="en-US"/>
        </w:rPr>
        <w:t xml:space="preserve"> out of 631 total settings). Settings include Nursery, Primary, Secondary, Special S</w:t>
      </w:r>
      <w:r w:rsidR="009A60AA">
        <w:rPr>
          <w:rFonts w:ascii="Arial" w:eastAsiaTheme="minorHAnsi" w:hAnsi="Arial" w:cs="Arial"/>
          <w:color w:val="000000" w:themeColor="text1"/>
          <w:sz w:val="24"/>
          <w:szCs w:val="24"/>
          <w:lang w:eastAsia="en-US"/>
        </w:rPr>
        <w:t>chools and Pupil Referral Units</w:t>
      </w:r>
      <w:r w:rsidRPr="00B6515F">
        <w:rPr>
          <w:rFonts w:ascii="Arial" w:eastAsiaTheme="minorHAnsi" w:hAnsi="Arial" w:cs="Arial"/>
          <w:color w:val="000000" w:themeColor="text1"/>
          <w:sz w:val="24"/>
          <w:szCs w:val="24"/>
          <w:lang w:eastAsia="en-US"/>
        </w:rPr>
        <w:t xml:space="preserve">.  </w:t>
      </w:r>
    </w:p>
    <w:p w:rsidR="00FA05F9" w:rsidRDefault="00FA05F9" w:rsidP="00FA05F9">
      <w:pPr>
        <w:rPr>
          <w:color w:val="FF0000"/>
        </w:rPr>
      </w:pPr>
    </w:p>
    <w:p w:rsidR="00FA05F9" w:rsidRPr="0004382F" w:rsidRDefault="009B31E1" w:rsidP="00FA05F9">
      <w:pPr>
        <w:pStyle w:val="NoSpacing"/>
        <w:jc w:val="both"/>
        <w:rPr>
          <w:rFonts w:ascii="Arial" w:hAnsi="Arial" w:cs="Arial"/>
          <w:i/>
          <w:sz w:val="24"/>
          <w:szCs w:val="24"/>
        </w:rPr>
      </w:pPr>
      <w:r>
        <w:rPr>
          <w:rFonts w:ascii="Arial" w:hAnsi="Arial" w:cs="Arial"/>
          <w:i/>
          <w:sz w:val="24"/>
          <w:szCs w:val="24"/>
        </w:rPr>
        <w:t>Children and</w:t>
      </w:r>
      <w:r w:rsidRPr="008D2153">
        <w:rPr>
          <w:rFonts w:ascii="Arial" w:hAnsi="Arial" w:cs="Arial"/>
          <w:i/>
          <w:sz w:val="24"/>
          <w:szCs w:val="24"/>
        </w:rPr>
        <w:t xml:space="preserve"> Family Wellbeing service</w:t>
      </w:r>
    </w:p>
    <w:p w:rsidR="00FA05F9" w:rsidRDefault="00FA05F9" w:rsidP="00FA05F9">
      <w:pPr>
        <w:rPr>
          <w:color w:val="FF0000"/>
        </w:rPr>
      </w:pPr>
    </w:p>
    <w:tbl>
      <w:tblPr>
        <w:tblW w:w="9639" w:type="dxa"/>
        <w:tblInd w:w="-10" w:type="dxa"/>
        <w:tblLayout w:type="fixed"/>
        <w:tblLook w:val="04A0" w:firstRow="1" w:lastRow="0" w:firstColumn="1" w:lastColumn="0" w:noHBand="0" w:noVBand="1"/>
      </w:tblPr>
      <w:tblGrid>
        <w:gridCol w:w="2268"/>
        <w:gridCol w:w="851"/>
        <w:gridCol w:w="1134"/>
        <w:gridCol w:w="1134"/>
        <w:gridCol w:w="1134"/>
        <w:gridCol w:w="1134"/>
        <w:gridCol w:w="992"/>
        <w:gridCol w:w="992"/>
      </w:tblGrid>
      <w:tr w:rsidR="004744FE" w:rsidTr="00FA05F9">
        <w:trPr>
          <w:trHeight w:val="60"/>
        </w:trPr>
        <w:tc>
          <w:tcPr>
            <w:tcW w:w="9639" w:type="dxa"/>
            <w:gridSpan w:val="8"/>
            <w:tcBorders>
              <w:top w:val="single" w:sz="8" w:space="0" w:color="auto"/>
              <w:left w:val="single" w:sz="8" w:space="0" w:color="auto"/>
              <w:bottom w:val="single" w:sz="8" w:space="0" w:color="auto"/>
              <w:right w:val="single" w:sz="8" w:space="0" w:color="000000"/>
            </w:tcBorders>
            <w:shd w:val="clear" w:color="000000" w:fill="F2F2F2"/>
          </w:tcPr>
          <w:p w:rsidR="00FA05F9" w:rsidRPr="00F525F5" w:rsidRDefault="009B31E1" w:rsidP="00FA05F9">
            <w:pPr>
              <w:rPr>
                <w:rFonts w:cs="Arial"/>
                <w:b/>
                <w:bCs/>
                <w:color w:val="FF0000"/>
                <w:sz w:val="18"/>
                <w:szCs w:val="18"/>
              </w:rPr>
            </w:pPr>
            <w:r w:rsidRPr="006B4764">
              <w:rPr>
                <w:b/>
                <w:sz w:val="18"/>
                <w:szCs w:val="18"/>
              </w:rPr>
              <w:t>Children &amp; Family Wellbeing service</w:t>
            </w:r>
          </w:p>
        </w:tc>
      </w:tr>
      <w:tr w:rsidR="004744FE" w:rsidTr="00FA05F9">
        <w:trPr>
          <w:trHeight w:val="601"/>
        </w:trPr>
        <w:tc>
          <w:tcPr>
            <w:tcW w:w="2268" w:type="dxa"/>
            <w:tcBorders>
              <w:top w:val="nil"/>
              <w:left w:val="single" w:sz="8" w:space="0" w:color="auto"/>
              <w:bottom w:val="single" w:sz="8" w:space="0" w:color="000000"/>
              <w:right w:val="single" w:sz="8" w:space="0" w:color="auto"/>
            </w:tcBorders>
            <w:shd w:val="clear" w:color="000000" w:fill="F2F2F2"/>
            <w:vAlign w:val="center"/>
            <w:hideMark/>
          </w:tcPr>
          <w:p w:rsidR="00FA05F9" w:rsidRPr="006B4764" w:rsidRDefault="009B31E1" w:rsidP="00FA05F9">
            <w:pPr>
              <w:rPr>
                <w:rFonts w:cs="Arial"/>
                <w:b/>
                <w:bCs/>
                <w:sz w:val="18"/>
                <w:szCs w:val="18"/>
              </w:rPr>
            </w:pPr>
            <w:r w:rsidRPr="006B4764">
              <w:rPr>
                <w:rFonts w:cs="Arial"/>
                <w:b/>
                <w:bCs/>
                <w:sz w:val="18"/>
                <w:szCs w:val="18"/>
              </w:rPr>
              <w:t> </w:t>
            </w:r>
          </w:p>
        </w:tc>
        <w:tc>
          <w:tcPr>
            <w:tcW w:w="851" w:type="dxa"/>
            <w:tcBorders>
              <w:top w:val="nil"/>
              <w:left w:val="single" w:sz="8" w:space="0" w:color="auto"/>
              <w:bottom w:val="single" w:sz="8" w:space="0" w:color="000000"/>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Good is High or Low</w:t>
            </w:r>
          </w:p>
        </w:tc>
        <w:tc>
          <w:tcPr>
            <w:tcW w:w="1134" w:type="dxa"/>
            <w:tcBorders>
              <w:top w:val="nil"/>
              <w:left w:val="single" w:sz="8" w:space="0" w:color="auto"/>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Q1 2018/19</w:t>
            </w:r>
          </w:p>
        </w:tc>
        <w:tc>
          <w:tcPr>
            <w:tcW w:w="1134" w:type="dxa"/>
            <w:tcBorders>
              <w:top w:val="nil"/>
              <w:left w:val="single" w:sz="8" w:space="0" w:color="auto"/>
              <w:bottom w:val="single" w:sz="8" w:space="0" w:color="000000"/>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Q2 2018/19</w:t>
            </w:r>
          </w:p>
        </w:tc>
        <w:tc>
          <w:tcPr>
            <w:tcW w:w="1134" w:type="dxa"/>
            <w:tcBorders>
              <w:top w:val="nil"/>
              <w:left w:val="single" w:sz="8" w:space="0" w:color="auto"/>
              <w:bottom w:val="single" w:sz="4" w:space="0" w:color="auto"/>
              <w:right w:val="single" w:sz="8" w:space="0" w:color="auto"/>
            </w:tcBorders>
            <w:shd w:val="clear" w:color="000000" w:fill="F2F2F2"/>
            <w:vAlign w:val="center"/>
          </w:tcPr>
          <w:p w:rsidR="00FA05F9" w:rsidRPr="006B4764" w:rsidRDefault="009B31E1" w:rsidP="00FA05F9">
            <w:pPr>
              <w:jc w:val="center"/>
              <w:rPr>
                <w:rFonts w:cs="Arial"/>
                <w:b/>
                <w:bCs/>
                <w:sz w:val="18"/>
                <w:szCs w:val="18"/>
              </w:rPr>
            </w:pPr>
            <w:r w:rsidRPr="006B4764">
              <w:rPr>
                <w:rFonts w:cs="Arial"/>
                <w:b/>
                <w:bCs/>
                <w:sz w:val="18"/>
                <w:szCs w:val="18"/>
              </w:rPr>
              <w:t>Q3 2018/19</w:t>
            </w:r>
          </w:p>
        </w:tc>
        <w:tc>
          <w:tcPr>
            <w:tcW w:w="1134" w:type="dxa"/>
            <w:tcBorders>
              <w:top w:val="nil"/>
              <w:left w:val="single" w:sz="8" w:space="0" w:color="auto"/>
              <w:bottom w:val="single" w:sz="8" w:space="0" w:color="000000"/>
              <w:right w:val="single" w:sz="8" w:space="0" w:color="auto"/>
            </w:tcBorders>
            <w:shd w:val="clear" w:color="000000" w:fill="F2F2F2"/>
            <w:vAlign w:val="center"/>
          </w:tcPr>
          <w:p w:rsidR="00FA05F9" w:rsidRPr="006B4764" w:rsidRDefault="009B31E1" w:rsidP="00FA05F9">
            <w:pPr>
              <w:jc w:val="center"/>
              <w:rPr>
                <w:rFonts w:cs="Arial"/>
                <w:b/>
                <w:bCs/>
                <w:sz w:val="18"/>
                <w:szCs w:val="18"/>
              </w:rPr>
            </w:pPr>
            <w:r w:rsidRPr="006B4764">
              <w:rPr>
                <w:rFonts w:cs="Arial"/>
                <w:b/>
                <w:bCs/>
                <w:sz w:val="18"/>
                <w:szCs w:val="18"/>
              </w:rPr>
              <w:t>Q4 2018/19 (rolling figures)</w:t>
            </w:r>
          </w:p>
        </w:tc>
        <w:tc>
          <w:tcPr>
            <w:tcW w:w="992" w:type="dxa"/>
            <w:tcBorders>
              <w:top w:val="nil"/>
              <w:left w:val="single" w:sz="8" w:space="0" w:color="auto"/>
              <w:bottom w:val="single" w:sz="8" w:space="0" w:color="000000"/>
              <w:right w:val="single" w:sz="8" w:space="0" w:color="auto"/>
            </w:tcBorders>
            <w:shd w:val="clear" w:color="000000" w:fill="F2F2F2"/>
          </w:tcPr>
          <w:p w:rsidR="00FA05F9" w:rsidRPr="006B4764" w:rsidRDefault="009B31E1" w:rsidP="00FA05F9">
            <w:pPr>
              <w:jc w:val="center"/>
              <w:rPr>
                <w:rFonts w:cs="Arial"/>
                <w:b/>
                <w:bCs/>
                <w:sz w:val="18"/>
                <w:szCs w:val="18"/>
              </w:rPr>
            </w:pPr>
            <w:r w:rsidRPr="006B4764">
              <w:rPr>
                <w:rFonts w:cs="Arial"/>
                <w:b/>
                <w:bCs/>
                <w:sz w:val="18"/>
                <w:szCs w:val="18"/>
              </w:rPr>
              <w:t xml:space="preserve">            Q1 2019/20</w:t>
            </w:r>
          </w:p>
        </w:tc>
        <w:tc>
          <w:tcPr>
            <w:tcW w:w="992" w:type="dxa"/>
            <w:tcBorders>
              <w:top w:val="nil"/>
              <w:left w:val="single" w:sz="8" w:space="0" w:color="auto"/>
              <w:bottom w:val="single" w:sz="8" w:space="0" w:color="000000"/>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England Average</w:t>
            </w:r>
          </w:p>
        </w:tc>
      </w:tr>
      <w:tr w:rsidR="004744FE" w:rsidTr="00FA05F9">
        <w:trPr>
          <w:trHeight w:val="60"/>
        </w:trPr>
        <w:tc>
          <w:tcPr>
            <w:tcW w:w="2268" w:type="dxa"/>
            <w:tcBorders>
              <w:top w:val="nil"/>
              <w:left w:val="single" w:sz="8" w:space="0" w:color="auto"/>
              <w:bottom w:val="single" w:sz="4" w:space="0" w:color="auto"/>
              <w:right w:val="nil"/>
            </w:tcBorders>
            <w:shd w:val="clear" w:color="auto" w:fill="auto"/>
            <w:vAlign w:val="center"/>
            <w:hideMark/>
          </w:tcPr>
          <w:p w:rsidR="00FA05F9" w:rsidRPr="006B4764" w:rsidRDefault="009B31E1" w:rsidP="00FA05F9">
            <w:pPr>
              <w:rPr>
                <w:rFonts w:cs="Arial"/>
                <w:sz w:val="18"/>
                <w:szCs w:val="18"/>
              </w:rPr>
            </w:pPr>
            <w:r w:rsidRPr="006B4764">
              <w:rPr>
                <w:rFonts w:cs="Arial"/>
                <w:sz w:val="18"/>
                <w:szCs w:val="18"/>
              </w:rPr>
              <w:t>- Number of families attached to the programme</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FA05F9" w:rsidRPr="006B4764" w:rsidRDefault="009B31E1" w:rsidP="00FA05F9">
            <w:pPr>
              <w:jc w:val="center"/>
              <w:rPr>
                <w:rFonts w:cs="Arial"/>
                <w:sz w:val="18"/>
                <w:szCs w:val="18"/>
              </w:rPr>
            </w:pPr>
            <w:r w:rsidRPr="006B4764">
              <w:rPr>
                <w:rFonts w:cs="Arial"/>
                <w:sz w:val="18"/>
                <w:szCs w:val="18"/>
              </w:rPr>
              <w:t>H</w:t>
            </w:r>
          </w:p>
        </w:tc>
        <w:tc>
          <w:tcPr>
            <w:tcW w:w="113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FA05F9" w:rsidRPr="006B4764" w:rsidRDefault="009B31E1" w:rsidP="00FA05F9">
            <w:pPr>
              <w:jc w:val="center"/>
              <w:rPr>
                <w:rFonts w:cs="Arial"/>
                <w:sz w:val="18"/>
                <w:szCs w:val="18"/>
              </w:rPr>
            </w:pPr>
            <w:r w:rsidRPr="006B4764">
              <w:rPr>
                <w:rFonts w:cs="Arial"/>
                <w:sz w:val="18"/>
                <w:szCs w:val="18"/>
              </w:rPr>
              <w:t>10,169</w:t>
            </w:r>
          </w:p>
        </w:tc>
        <w:tc>
          <w:tcPr>
            <w:tcW w:w="1134" w:type="dxa"/>
            <w:tcBorders>
              <w:top w:val="nil"/>
              <w:left w:val="nil"/>
              <w:bottom w:val="single" w:sz="4" w:space="0" w:color="auto"/>
              <w:right w:val="single" w:sz="8" w:space="0" w:color="auto"/>
            </w:tcBorders>
            <w:shd w:val="clear" w:color="auto" w:fill="C5E0B3" w:themeFill="accent6" w:themeFillTint="66"/>
            <w:vAlign w:val="center"/>
            <w:hideMark/>
          </w:tcPr>
          <w:p w:rsidR="00FA05F9" w:rsidRPr="006B4764" w:rsidRDefault="009B31E1" w:rsidP="00FA05F9">
            <w:pPr>
              <w:jc w:val="center"/>
              <w:rPr>
                <w:rFonts w:cs="Arial"/>
                <w:sz w:val="18"/>
                <w:szCs w:val="18"/>
              </w:rPr>
            </w:pPr>
            <w:r w:rsidRPr="006B4764">
              <w:rPr>
                <w:rFonts w:cs="Arial"/>
                <w:sz w:val="18"/>
                <w:szCs w:val="18"/>
              </w:rPr>
              <w:t>12,498</w:t>
            </w:r>
          </w:p>
        </w:tc>
        <w:tc>
          <w:tcPr>
            <w:tcW w:w="1134" w:type="dxa"/>
            <w:tcBorders>
              <w:top w:val="nil"/>
              <w:left w:val="single" w:sz="4" w:space="0" w:color="auto"/>
              <w:bottom w:val="single" w:sz="4" w:space="0" w:color="auto"/>
              <w:right w:val="single" w:sz="8" w:space="0" w:color="auto"/>
            </w:tcBorders>
            <w:shd w:val="clear" w:color="auto" w:fill="C5E0B3" w:themeFill="accent6" w:themeFillTint="66"/>
            <w:vAlign w:val="center"/>
          </w:tcPr>
          <w:p w:rsidR="00FA05F9" w:rsidRPr="006B4764" w:rsidRDefault="009B31E1" w:rsidP="00FA05F9">
            <w:pPr>
              <w:jc w:val="center"/>
              <w:rPr>
                <w:rFonts w:cs="Arial"/>
                <w:sz w:val="18"/>
                <w:szCs w:val="18"/>
              </w:rPr>
            </w:pPr>
            <w:r w:rsidRPr="006B4764">
              <w:rPr>
                <w:rFonts w:cs="Arial"/>
                <w:sz w:val="18"/>
                <w:szCs w:val="18"/>
              </w:rPr>
              <w:t>14,164</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A05F9" w:rsidRPr="006B4764" w:rsidRDefault="009B31E1" w:rsidP="00FA05F9">
            <w:pPr>
              <w:jc w:val="center"/>
              <w:rPr>
                <w:rFonts w:cs="Arial"/>
                <w:sz w:val="18"/>
                <w:szCs w:val="18"/>
              </w:rPr>
            </w:pPr>
            <w:r w:rsidRPr="006B4764">
              <w:rPr>
                <w:rFonts w:cs="Arial"/>
                <w:sz w:val="18"/>
                <w:szCs w:val="18"/>
              </w:rPr>
              <w:t>14,949</w:t>
            </w:r>
          </w:p>
        </w:tc>
        <w:tc>
          <w:tcPr>
            <w:tcW w:w="992"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A05F9" w:rsidRPr="00431DD3" w:rsidRDefault="009B31E1" w:rsidP="00FA05F9">
            <w:pPr>
              <w:jc w:val="center"/>
              <w:rPr>
                <w:rFonts w:cs="Arial"/>
                <w:sz w:val="18"/>
                <w:szCs w:val="18"/>
              </w:rPr>
            </w:pPr>
            <w:r w:rsidRPr="00431DD3">
              <w:rPr>
                <w:rFonts w:cs="Arial"/>
                <w:sz w:val="18"/>
                <w:szCs w:val="18"/>
              </w:rPr>
              <w:t>18,095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A05F9" w:rsidRPr="00431DD3" w:rsidRDefault="009B31E1" w:rsidP="00FA05F9">
            <w:pPr>
              <w:jc w:val="center"/>
              <w:rPr>
                <w:rFonts w:cs="Arial"/>
                <w:sz w:val="18"/>
                <w:szCs w:val="18"/>
              </w:rPr>
            </w:pPr>
            <w:r w:rsidRPr="00431DD3">
              <w:rPr>
                <w:rFonts w:cs="Arial"/>
                <w:sz w:val="18"/>
                <w:szCs w:val="18"/>
              </w:rPr>
              <w:t>n/a</w:t>
            </w:r>
          </w:p>
        </w:tc>
      </w:tr>
      <w:tr w:rsidR="004744FE" w:rsidTr="00FA05F9">
        <w:trPr>
          <w:trHeight w:val="60"/>
        </w:trPr>
        <w:tc>
          <w:tcPr>
            <w:tcW w:w="2268" w:type="dxa"/>
            <w:tcBorders>
              <w:top w:val="single" w:sz="4" w:space="0" w:color="auto"/>
              <w:left w:val="single" w:sz="8" w:space="0" w:color="auto"/>
              <w:bottom w:val="single" w:sz="8" w:space="0" w:color="auto"/>
              <w:right w:val="nil"/>
            </w:tcBorders>
            <w:shd w:val="clear" w:color="auto" w:fill="auto"/>
            <w:vAlign w:val="center"/>
            <w:hideMark/>
          </w:tcPr>
          <w:p w:rsidR="00FA05F9" w:rsidRPr="006B4764" w:rsidRDefault="009B31E1" w:rsidP="009A60AA">
            <w:pPr>
              <w:rPr>
                <w:rFonts w:cs="Arial"/>
                <w:sz w:val="18"/>
                <w:szCs w:val="18"/>
              </w:rPr>
            </w:pPr>
            <w:r w:rsidRPr="006B4764">
              <w:rPr>
                <w:rFonts w:cs="Arial"/>
                <w:sz w:val="18"/>
                <w:szCs w:val="18"/>
              </w:rPr>
              <w:t>- Payment by results claims (submitted to the D</w:t>
            </w:r>
            <w:r w:rsidR="009A60AA">
              <w:rPr>
                <w:rFonts w:cs="Arial"/>
                <w:sz w:val="18"/>
                <w:szCs w:val="18"/>
              </w:rPr>
              <w:t>epartment for Communities and Local Government</w:t>
            </w:r>
          </w:p>
        </w:tc>
        <w:tc>
          <w:tcPr>
            <w:tcW w:w="851" w:type="dxa"/>
            <w:tcBorders>
              <w:top w:val="nil"/>
              <w:left w:val="single" w:sz="4" w:space="0" w:color="auto"/>
              <w:bottom w:val="single" w:sz="8" w:space="0" w:color="auto"/>
              <w:right w:val="single" w:sz="4" w:space="0" w:color="auto"/>
            </w:tcBorders>
            <w:hideMark/>
          </w:tcPr>
          <w:p w:rsidR="00FA05F9" w:rsidRPr="006B4764" w:rsidRDefault="00FA05F9" w:rsidP="00FA05F9">
            <w:pPr>
              <w:jc w:val="center"/>
              <w:rPr>
                <w:rFonts w:cs="Arial"/>
                <w:sz w:val="18"/>
                <w:szCs w:val="18"/>
              </w:rPr>
            </w:pPr>
          </w:p>
          <w:p w:rsidR="00FA05F9" w:rsidRPr="006B4764" w:rsidRDefault="009B31E1" w:rsidP="00FA05F9">
            <w:pPr>
              <w:jc w:val="center"/>
              <w:rPr>
                <w:rFonts w:cs="Arial"/>
                <w:sz w:val="18"/>
                <w:szCs w:val="18"/>
              </w:rPr>
            </w:pPr>
            <w:r w:rsidRPr="006B4764">
              <w:rPr>
                <w:rFonts w:cs="Arial"/>
                <w:sz w:val="18"/>
                <w:szCs w:val="18"/>
              </w:rPr>
              <w:t>H</w:t>
            </w:r>
          </w:p>
        </w:tc>
        <w:tc>
          <w:tcPr>
            <w:tcW w:w="1134" w:type="dxa"/>
            <w:tcBorders>
              <w:top w:val="single" w:sz="4" w:space="0" w:color="auto"/>
              <w:left w:val="nil"/>
              <w:bottom w:val="single" w:sz="8" w:space="0" w:color="auto"/>
              <w:right w:val="single" w:sz="4" w:space="0" w:color="auto"/>
            </w:tcBorders>
            <w:shd w:val="clear" w:color="auto" w:fill="C5E0B3" w:themeFill="accent6" w:themeFillTint="66"/>
            <w:vAlign w:val="center"/>
            <w:hideMark/>
          </w:tcPr>
          <w:p w:rsidR="00FA05F9" w:rsidRPr="006B4764" w:rsidRDefault="009B31E1" w:rsidP="00FA05F9">
            <w:pPr>
              <w:jc w:val="center"/>
              <w:rPr>
                <w:rFonts w:cs="Arial"/>
                <w:sz w:val="18"/>
                <w:szCs w:val="18"/>
              </w:rPr>
            </w:pPr>
            <w:r w:rsidRPr="006B4764">
              <w:rPr>
                <w:rFonts w:cs="Arial"/>
                <w:sz w:val="18"/>
                <w:szCs w:val="18"/>
              </w:rPr>
              <w:t>2,409</w:t>
            </w:r>
          </w:p>
        </w:tc>
        <w:tc>
          <w:tcPr>
            <w:tcW w:w="1134" w:type="dxa"/>
            <w:tcBorders>
              <w:top w:val="nil"/>
              <w:left w:val="nil"/>
              <w:bottom w:val="single" w:sz="8" w:space="0" w:color="auto"/>
              <w:right w:val="single" w:sz="8" w:space="0" w:color="auto"/>
            </w:tcBorders>
            <w:shd w:val="clear" w:color="auto" w:fill="F7CAAC" w:themeFill="accent2" w:themeFillTint="66"/>
            <w:vAlign w:val="center"/>
            <w:hideMark/>
          </w:tcPr>
          <w:p w:rsidR="00FA05F9" w:rsidRPr="006B4764" w:rsidRDefault="009B31E1" w:rsidP="00FA05F9">
            <w:pPr>
              <w:jc w:val="center"/>
              <w:rPr>
                <w:rFonts w:cs="Arial"/>
                <w:sz w:val="18"/>
                <w:szCs w:val="18"/>
              </w:rPr>
            </w:pPr>
            <w:r w:rsidRPr="006B4764">
              <w:rPr>
                <w:rFonts w:cs="Arial"/>
                <w:sz w:val="18"/>
                <w:szCs w:val="18"/>
              </w:rPr>
              <w:t>2,740</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FA05F9" w:rsidRPr="006B4764" w:rsidRDefault="00FA05F9" w:rsidP="00FA05F9">
            <w:pPr>
              <w:jc w:val="center"/>
              <w:rPr>
                <w:rFonts w:cs="Arial"/>
                <w:sz w:val="18"/>
                <w:szCs w:val="18"/>
              </w:rPr>
            </w:pPr>
          </w:p>
          <w:p w:rsidR="00FA05F9" w:rsidRPr="006B4764" w:rsidRDefault="009B31E1" w:rsidP="00FA05F9">
            <w:pPr>
              <w:jc w:val="center"/>
              <w:rPr>
                <w:rFonts w:cs="Arial"/>
                <w:sz w:val="18"/>
                <w:szCs w:val="18"/>
              </w:rPr>
            </w:pPr>
            <w:r w:rsidRPr="006B4764">
              <w:rPr>
                <w:rFonts w:cs="Arial"/>
                <w:sz w:val="18"/>
                <w:szCs w:val="18"/>
              </w:rPr>
              <w:t>3,158</w:t>
            </w:r>
          </w:p>
        </w:tc>
        <w:tc>
          <w:tcPr>
            <w:tcW w:w="1134" w:type="dxa"/>
            <w:tcBorders>
              <w:top w:val="nil"/>
              <w:left w:val="nil"/>
              <w:bottom w:val="single" w:sz="8" w:space="0" w:color="auto"/>
              <w:right w:val="single" w:sz="4" w:space="0" w:color="auto"/>
            </w:tcBorders>
            <w:shd w:val="clear" w:color="auto" w:fill="C5E0B3" w:themeFill="accent6" w:themeFillTint="66"/>
            <w:vAlign w:val="center"/>
          </w:tcPr>
          <w:p w:rsidR="00FA05F9" w:rsidRPr="006B4764" w:rsidRDefault="009B31E1" w:rsidP="00FA05F9">
            <w:pPr>
              <w:jc w:val="center"/>
              <w:rPr>
                <w:rFonts w:cs="Arial"/>
                <w:sz w:val="18"/>
                <w:szCs w:val="18"/>
              </w:rPr>
            </w:pPr>
            <w:r w:rsidRPr="006B4764">
              <w:rPr>
                <w:rFonts w:cs="Arial"/>
                <w:sz w:val="18"/>
                <w:szCs w:val="18"/>
              </w:rPr>
              <w:t>4,113</w:t>
            </w:r>
          </w:p>
        </w:tc>
        <w:tc>
          <w:tcPr>
            <w:tcW w:w="992" w:type="dxa"/>
            <w:tcBorders>
              <w:top w:val="single" w:sz="4" w:space="0" w:color="auto"/>
              <w:left w:val="nil"/>
              <w:bottom w:val="single" w:sz="8" w:space="0" w:color="auto"/>
              <w:right w:val="single" w:sz="4" w:space="0" w:color="auto"/>
            </w:tcBorders>
            <w:shd w:val="clear" w:color="auto" w:fill="C5E0B3" w:themeFill="accent6" w:themeFillTint="66"/>
            <w:vAlign w:val="center"/>
          </w:tcPr>
          <w:p w:rsidR="00FA05F9" w:rsidRPr="00431DD3" w:rsidRDefault="009B31E1" w:rsidP="00FA05F9">
            <w:pPr>
              <w:jc w:val="center"/>
              <w:rPr>
                <w:rFonts w:cs="Arial"/>
                <w:sz w:val="18"/>
                <w:szCs w:val="18"/>
              </w:rPr>
            </w:pPr>
            <w:r w:rsidRPr="00431DD3">
              <w:rPr>
                <w:rFonts w:cs="Arial"/>
                <w:sz w:val="18"/>
                <w:szCs w:val="18"/>
              </w:rPr>
              <w:t>5,370</w:t>
            </w:r>
          </w:p>
        </w:tc>
        <w:tc>
          <w:tcPr>
            <w:tcW w:w="992" w:type="dxa"/>
            <w:tcBorders>
              <w:top w:val="nil"/>
              <w:left w:val="single" w:sz="4" w:space="0" w:color="auto"/>
              <w:bottom w:val="single" w:sz="8" w:space="0" w:color="auto"/>
              <w:right w:val="single" w:sz="4" w:space="0" w:color="auto"/>
            </w:tcBorders>
            <w:hideMark/>
          </w:tcPr>
          <w:p w:rsidR="00FA05F9" w:rsidRPr="00431DD3" w:rsidRDefault="00FA05F9" w:rsidP="00FA05F9">
            <w:pPr>
              <w:jc w:val="center"/>
              <w:rPr>
                <w:rFonts w:cs="Arial"/>
                <w:sz w:val="18"/>
                <w:szCs w:val="18"/>
              </w:rPr>
            </w:pPr>
          </w:p>
          <w:p w:rsidR="00FA05F9" w:rsidRPr="00431DD3" w:rsidRDefault="009B31E1" w:rsidP="00FA05F9">
            <w:pPr>
              <w:jc w:val="center"/>
              <w:rPr>
                <w:rFonts w:cs="Arial"/>
                <w:sz w:val="18"/>
                <w:szCs w:val="18"/>
              </w:rPr>
            </w:pPr>
            <w:r w:rsidRPr="00431DD3">
              <w:rPr>
                <w:rFonts w:cs="Arial"/>
                <w:sz w:val="18"/>
                <w:szCs w:val="18"/>
              </w:rPr>
              <w:t>n/a</w:t>
            </w:r>
          </w:p>
        </w:tc>
      </w:tr>
    </w:tbl>
    <w:p w:rsidR="00FA05F9" w:rsidRPr="00F525F5" w:rsidRDefault="00FA05F9" w:rsidP="00FA05F9">
      <w:pPr>
        <w:rPr>
          <w:color w:val="FF0000"/>
        </w:rPr>
      </w:pPr>
    </w:p>
    <w:p w:rsidR="00FA05F9" w:rsidRPr="00E0441C" w:rsidRDefault="009B31E1" w:rsidP="009A60AA">
      <w:pPr>
        <w:jc w:val="both"/>
        <w:rPr>
          <w:rFonts w:cs="Arial"/>
          <w:szCs w:val="24"/>
        </w:rPr>
      </w:pPr>
      <w:r w:rsidRPr="00E0441C">
        <w:rPr>
          <w:rFonts w:cs="Arial"/>
          <w:szCs w:val="24"/>
        </w:rPr>
        <w:t>From quarter 1 of 2019/20, the C</w:t>
      </w:r>
      <w:r w:rsidR="009A60AA">
        <w:rPr>
          <w:rFonts w:cs="Arial"/>
          <w:szCs w:val="24"/>
        </w:rPr>
        <w:t>hildren and Family Wellbeing</w:t>
      </w:r>
      <w:r w:rsidRPr="00E0441C">
        <w:rPr>
          <w:rFonts w:cs="Arial"/>
          <w:szCs w:val="24"/>
        </w:rPr>
        <w:t xml:space="preserve"> service </w:t>
      </w:r>
      <w:r w:rsidR="009A60AA">
        <w:rPr>
          <w:rFonts w:cs="Arial"/>
          <w:szCs w:val="24"/>
        </w:rPr>
        <w:t>became</w:t>
      </w:r>
      <w:r w:rsidRPr="00E0441C">
        <w:rPr>
          <w:rFonts w:cs="Arial"/>
          <w:szCs w:val="24"/>
        </w:rPr>
        <w:t xml:space="preserve"> part of Education and Children's Services. </w:t>
      </w:r>
    </w:p>
    <w:p w:rsidR="00FA05F9" w:rsidRPr="00E0441C" w:rsidRDefault="00FA05F9" w:rsidP="009A60AA">
      <w:pPr>
        <w:jc w:val="both"/>
      </w:pPr>
    </w:p>
    <w:p w:rsidR="00FA05F9" w:rsidRPr="00E0441C" w:rsidRDefault="009B31E1" w:rsidP="009A60AA">
      <w:pPr>
        <w:jc w:val="both"/>
      </w:pPr>
      <w:r w:rsidRPr="00E0441C">
        <w:t xml:space="preserve">Payment by Results claims are submitted to the Ministry for Housing, Communities and Local Government on a quarterly basis during the specified claim window period.  </w:t>
      </w:r>
    </w:p>
    <w:p w:rsidR="00FA05F9" w:rsidRPr="00E0441C" w:rsidRDefault="00FA05F9" w:rsidP="009A60AA">
      <w:pPr>
        <w:jc w:val="both"/>
      </w:pPr>
    </w:p>
    <w:p w:rsidR="00FA05F9" w:rsidRPr="00E0441C" w:rsidRDefault="009B31E1" w:rsidP="009A60AA">
      <w:pPr>
        <w:jc w:val="both"/>
      </w:pPr>
      <w:r w:rsidRPr="00E0441C">
        <w:t xml:space="preserve">The June claim window closure had a target of 5,370 </w:t>
      </w:r>
      <w:r w:rsidR="009A60AA">
        <w:t>payment by results</w:t>
      </w:r>
      <w:r w:rsidRPr="00E0441C">
        <w:t xml:space="preserve"> claims, which required the team to successfully validate 1,257 claims during the 3 month period.  Through a clearly defined plan combined with significant effort and hard work, the target was achieved.</w:t>
      </w:r>
    </w:p>
    <w:p w:rsidR="00FA05F9" w:rsidRPr="00E0441C" w:rsidRDefault="00FA05F9" w:rsidP="009A60AA">
      <w:pPr>
        <w:jc w:val="both"/>
      </w:pPr>
    </w:p>
    <w:p w:rsidR="00FA05F9" w:rsidRDefault="009B31E1" w:rsidP="009A60AA">
      <w:pPr>
        <w:jc w:val="both"/>
      </w:pPr>
      <w:r w:rsidRPr="00E0441C">
        <w:t xml:space="preserve">The team has now turned its attention to the September claim window target of 6,620 </w:t>
      </w:r>
      <w:r w:rsidR="009A60AA">
        <w:t>payment by results</w:t>
      </w:r>
      <w:r w:rsidRPr="00E0441C">
        <w:t xml:space="preserve"> claims (cumulative total).</w:t>
      </w:r>
    </w:p>
    <w:p w:rsidR="00FA05F9" w:rsidRDefault="00FA05F9" w:rsidP="00FA05F9"/>
    <w:p w:rsidR="00FA05F9" w:rsidRPr="00A87ADF" w:rsidRDefault="009B31E1" w:rsidP="00FA05F9">
      <w:pPr>
        <w:rPr>
          <w:b/>
          <w:i/>
        </w:rPr>
      </w:pPr>
      <w:r>
        <w:rPr>
          <w:i/>
        </w:rPr>
        <w:t>L</w:t>
      </w:r>
      <w:r w:rsidRPr="00602B43">
        <w:rPr>
          <w:i/>
        </w:rPr>
        <w:t>ibraries and museums</w:t>
      </w:r>
      <w:r>
        <w:rPr>
          <w:i/>
        </w:rPr>
        <w:t xml:space="preserve"> </w:t>
      </w:r>
    </w:p>
    <w:p w:rsidR="00FA05F9" w:rsidRPr="00E0441C" w:rsidRDefault="00FA05F9" w:rsidP="00FA05F9"/>
    <w:tbl>
      <w:tblPr>
        <w:tblW w:w="9355" w:type="dxa"/>
        <w:tblInd w:w="-5" w:type="dxa"/>
        <w:tblLayout w:type="fixed"/>
        <w:tblLook w:val="04A0" w:firstRow="1" w:lastRow="0" w:firstColumn="1" w:lastColumn="0" w:noHBand="0" w:noVBand="1"/>
      </w:tblPr>
      <w:tblGrid>
        <w:gridCol w:w="2614"/>
        <w:gridCol w:w="1162"/>
        <w:gridCol w:w="1136"/>
        <w:gridCol w:w="1088"/>
        <w:gridCol w:w="957"/>
        <w:gridCol w:w="966"/>
        <w:gridCol w:w="1432"/>
      </w:tblGrid>
      <w:tr w:rsidR="004744FE" w:rsidTr="00FA05F9">
        <w:trPr>
          <w:trHeight w:val="616"/>
        </w:trPr>
        <w:tc>
          <w:tcPr>
            <w:tcW w:w="2614"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FA05F9" w:rsidRPr="00D01C0B" w:rsidRDefault="009B31E1" w:rsidP="00FA05F9">
            <w:pPr>
              <w:rPr>
                <w:rFonts w:cs="Arial"/>
                <w:b/>
                <w:bCs/>
                <w:sz w:val="18"/>
                <w:szCs w:val="18"/>
              </w:rPr>
            </w:pPr>
            <w:r w:rsidRPr="00D01C0B">
              <w:rPr>
                <w:rFonts w:cs="Arial"/>
                <w:b/>
                <w:bCs/>
                <w:sz w:val="18"/>
                <w:szCs w:val="18"/>
              </w:rPr>
              <w:t>Performance Measure</w:t>
            </w:r>
            <w:r w:rsidRPr="00D01C0B">
              <w:rPr>
                <w:rFonts w:ascii="Calibri" w:hAnsi="Calibri" w:cs="Arial"/>
                <w:sz w:val="16"/>
                <w:szCs w:val="16"/>
              </w:rPr>
              <w:t> </w:t>
            </w:r>
          </w:p>
        </w:tc>
        <w:tc>
          <w:tcPr>
            <w:tcW w:w="1162" w:type="dxa"/>
            <w:tcBorders>
              <w:top w:val="single" w:sz="4" w:space="0" w:color="auto"/>
              <w:left w:val="nil"/>
              <w:bottom w:val="single" w:sz="8" w:space="0" w:color="auto"/>
              <w:right w:val="single" w:sz="8" w:space="0" w:color="auto"/>
            </w:tcBorders>
            <w:shd w:val="clear" w:color="000000" w:fill="F2F2F2"/>
            <w:vAlign w:val="center"/>
            <w:hideMark/>
          </w:tcPr>
          <w:p w:rsidR="00FA05F9" w:rsidRPr="00D01C0B" w:rsidRDefault="009B31E1" w:rsidP="00FA05F9">
            <w:pPr>
              <w:jc w:val="center"/>
              <w:rPr>
                <w:rFonts w:cs="Arial"/>
                <w:b/>
                <w:bCs/>
                <w:sz w:val="18"/>
                <w:szCs w:val="18"/>
              </w:rPr>
            </w:pPr>
            <w:r w:rsidRPr="00D01C0B">
              <w:rPr>
                <w:rFonts w:cs="Arial"/>
                <w:b/>
                <w:bCs/>
                <w:sz w:val="18"/>
                <w:szCs w:val="18"/>
              </w:rPr>
              <w:t>Good is High or Low</w:t>
            </w:r>
          </w:p>
        </w:tc>
        <w:tc>
          <w:tcPr>
            <w:tcW w:w="1136" w:type="dxa"/>
            <w:tcBorders>
              <w:top w:val="single" w:sz="4" w:space="0" w:color="auto"/>
              <w:left w:val="nil"/>
              <w:bottom w:val="single" w:sz="8" w:space="0" w:color="auto"/>
              <w:right w:val="single" w:sz="8" w:space="0" w:color="auto"/>
            </w:tcBorders>
            <w:shd w:val="clear" w:color="000000" w:fill="F2F2F2"/>
            <w:vAlign w:val="center"/>
            <w:hideMark/>
          </w:tcPr>
          <w:p w:rsidR="00FA05F9" w:rsidRPr="00D01C0B" w:rsidRDefault="009B31E1" w:rsidP="00FA05F9">
            <w:pPr>
              <w:jc w:val="center"/>
              <w:rPr>
                <w:rFonts w:cs="Arial"/>
                <w:b/>
                <w:bCs/>
                <w:sz w:val="18"/>
                <w:szCs w:val="18"/>
              </w:rPr>
            </w:pPr>
            <w:r w:rsidRPr="00D01C0B">
              <w:rPr>
                <w:rFonts w:cs="Arial"/>
                <w:b/>
                <w:bCs/>
                <w:sz w:val="18"/>
                <w:szCs w:val="18"/>
              </w:rPr>
              <w:t>2018/19</w:t>
            </w:r>
          </w:p>
        </w:tc>
        <w:tc>
          <w:tcPr>
            <w:tcW w:w="1088" w:type="dxa"/>
            <w:tcBorders>
              <w:top w:val="single" w:sz="4" w:space="0" w:color="auto"/>
              <w:left w:val="nil"/>
              <w:bottom w:val="single" w:sz="8" w:space="0" w:color="auto"/>
              <w:right w:val="single" w:sz="8" w:space="0" w:color="auto"/>
            </w:tcBorders>
            <w:shd w:val="clear" w:color="000000" w:fill="F2F2F2"/>
            <w:vAlign w:val="center"/>
            <w:hideMark/>
          </w:tcPr>
          <w:p w:rsidR="00FA05F9" w:rsidRPr="00D01C0B" w:rsidRDefault="009B31E1" w:rsidP="00FA05F9">
            <w:pPr>
              <w:jc w:val="center"/>
              <w:rPr>
                <w:rFonts w:cs="Arial"/>
                <w:b/>
                <w:bCs/>
                <w:sz w:val="18"/>
                <w:szCs w:val="18"/>
              </w:rPr>
            </w:pPr>
            <w:r w:rsidRPr="00D01C0B">
              <w:rPr>
                <w:rFonts w:cs="Arial"/>
                <w:b/>
                <w:bCs/>
                <w:sz w:val="18"/>
                <w:szCs w:val="18"/>
              </w:rPr>
              <w:t>Q2</w:t>
            </w:r>
          </w:p>
          <w:p w:rsidR="00FA05F9" w:rsidRPr="00D01C0B" w:rsidRDefault="009B31E1" w:rsidP="00FA05F9">
            <w:pPr>
              <w:jc w:val="center"/>
              <w:rPr>
                <w:rFonts w:cs="Arial"/>
                <w:b/>
                <w:bCs/>
                <w:sz w:val="18"/>
                <w:szCs w:val="18"/>
              </w:rPr>
            </w:pPr>
            <w:r w:rsidRPr="00D01C0B">
              <w:rPr>
                <w:rFonts w:cs="Arial"/>
                <w:b/>
                <w:bCs/>
                <w:sz w:val="18"/>
                <w:szCs w:val="18"/>
              </w:rPr>
              <w:t>2018/19</w:t>
            </w:r>
          </w:p>
        </w:tc>
        <w:tc>
          <w:tcPr>
            <w:tcW w:w="957" w:type="dxa"/>
            <w:tcBorders>
              <w:top w:val="single" w:sz="4" w:space="0" w:color="auto"/>
              <w:left w:val="nil"/>
              <w:bottom w:val="single" w:sz="8" w:space="0" w:color="auto"/>
              <w:right w:val="single" w:sz="8" w:space="0" w:color="auto"/>
            </w:tcBorders>
            <w:shd w:val="clear" w:color="000000" w:fill="F2F2F2"/>
            <w:vAlign w:val="center"/>
            <w:hideMark/>
          </w:tcPr>
          <w:p w:rsidR="00FA05F9" w:rsidRPr="00D01C0B" w:rsidRDefault="009B31E1" w:rsidP="00FA05F9">
            <w:pPr>
              <w:jc w:val="center"/>
              <w:rPr>
                <w:rFonts w:cs="Arial"/>
                <w:b/>
                <w:bCs/>
                <w:sz w:val="18"/>
                <w:szCs w:val="18"/>
              </w:rPr>
            </w:pPr>
            <w:r>
              <w:rPr>
                <w:rFonts w:cs="Arial"/>
                <w:b/>
                <w:bCs/>
                <w:sz w:val="18"/>
                <w:szCs w:val="18"/>
              </w:rPr>
              <w:t>Q3</w:t>
            </w:r>
          </w:p>
          <w:p w:rsidR="00FA05F9" w:rsidRPr="00D01C0B" w:rsidRDefault="009B31E1" w:rsidP="00FA05F9">
            <w:pPr>
              <w:jc w:val="center"/>
              <w:rPr>
                <w:rFonts w:cs="Arial"/>
                <w:b/>
                <w:bCs/>
                <w:sz w:val="18"/>
                <w:szCs w:val="18"/>
              </w:rPr>
            </w:pPr>
            <w:r w:rsidRPr="00D01C0B">
              <w:rPr>
                <w:rFonts w:cs="Arial"/>
                <w:b/>
                <w:bCs/>
                <w:sz w:val="18"/>
                <w:szCs w:val="18"/>
              </w:rPr>
              <w:t>2018/19</w:t>
            </w:r>
          </w:p>
        </w:tc>
        <w:tc>
          <w:tcPr>
            <w:tcW w:w="966" w:type="dxa"/>
            <w:tcBorders>
              <w:top w:val="single" w:sz="4" w:space="0" w:color="auto"/>
              <w:left w:val="nil"/>
              <w:bottom w:val="single" w:sz="8" w:space="0" w:color="auto"/>
              <w:right w:val="single" w:sz="8" w:space="0" w:color="auto"/>
            </w:tcBorders>
            <w:shd w:val="clear" w:color="000000" w:fill="F2F2F2"/>
            <w:vAlign w:val="center"/>
          </w:tcPr>
          <w:p w:rsidR="00FA05F9" w:rsidRPr="00D01C0B" w:rsidRDefault="009B31E1" w:rsidP="00FA05F9">
            <w:pPr>
              <w:jc w:val="center"/>
              <w:rPr>
                <w:rFonts w:cs="Arial"/>
                <w:b/>
                <w:bCs/>
                <w:sz w:val="18"/>
                <w:szCs w:val="18"/>
              </w:rPr>
            </w:pPr>
            <w:r w:rsidRPr="00D01C0B">
              <w:rPr>
                <w:rFonts w:cs="Arial"/>
                <w:b/>
                <w:bCs/>
                <w:sz w:val="18"/>
                <w:szCs w:val="18"/>
              </w:rPr>
              <w:t>Q4</w:t>
            </w:r>
          </w:p>
          <w:p w:rsidR="00FA05F9" w:rsidRPr="00D01C0B" w:rsidRDefault="009B31E1" w:rsidP="00FA05F9">
            <w:pPr>
              <w:jc w:val="center"/>
              <w:rPr>
                <w:rFonts w:cs="Arial"/>
                <w:b/>
                <w:bCs/>
                <w:sz w:val="18"/>
                <w:szCs w:val="18"/>
              </w:rPr>
            </w:pPr>
            <w:r w:rsidRPr="00D01C0B">
              <w:rPr>
                <w:rFonts w:cs="Arial"/>
                <w:b/>
                <w:bCs/>
                <w:sz w:val="18"/>
                <w:szCs w:val="18"/>
              </w:rPr>
              <w:t>2018/19</w:t>
            </w:r>
          </w:p>
        </w:tc>
        <w:tc>
          <w:tcPr>
            <w:tcW w:w="1432" w:type="dxa"/>
            <w:tcBorders>
              <w:top w:val="single" w:sz="4" w:space="0" w:color="auto"/>
              <w:left w:val="nil"/>
              <w:bottom w:val="single" w:sz="8" w:space="0" w:color="auto"/>
              <w:right w:val="single" w:sz="8" w:space="0" w:color="auto"/>
            </w:tcBorders>
            <w:shd w:val="clear" w:color="000000" w:fill="F2F2F2"/>
            <w:vAlign w:val="center"/>
          </w:tcPr>
          <w:p w:rsidR="00FA05F9" w:rsidRPr="00D01C0B" w:rsidRDefault="009B31E1" w:rsidP="00FA05F9">
            <w:pPr>
              <w:jc w:val="center"/>
              <w:rPr>
                <w:rFonts w:cs="Arial"/>
                <w:b/>
                <w:bCs/>
                <w:sz w:val="18"/>
                <w:szCs w:val="18"/>
              </w:rPr>
            </w:pPr>
            <w:r w:rsidRPr="00D01C0B">
              <w:rPr>
                <w:rFonts w:cs="Arial"/>
                <w:b/>
                <w:bCs/>
                <w:sz w:val="18"/>
                <w:szCs w:val="18"/>
              </w:rPr>
              <w:t>Q1</w:t>
            </w:r>
          </w:p>
          <w:p w:rsidR="00FA05F9" w:rsidRPr="00D01C0B" w:rsidRDefault="009B31E1" w:rsidP="00FA05F9">
            <w:pPr>
              <w:jc w:val="center"/>
              <w:rPr>
                <w:rFonts w:cs="Arial"/>
                <w:b/>
                <w:bCs/>
                <w:sz w:val="18"/>
                <w:szCs w:val="18"/>
              </w:rPr>
            </w:pPr>
            <w:r w:rsidRPr="00D01C0B">
              <w:rPr>
                <w:rFonts w:cs="Arial"/>
                <w:b/>
                <w:bCs/>
                <w:sz w:val="18"/>
                <w:szCs w:val="18"/>
              </w:rPr>
              <w:t>2019/20</w:t>
            </w:r>
          </w:p>
        </w:tc>
      </w:tr>
      <w:tr w:rsidR="004744FE" w:rsidTr="00FA05F9">
        <w:trPr>
          <w:trHeight w:val="60"/>
        </w:trPr>
        <w:tc>
          <w:tcPr>
            <w:tcW w:w="935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rsidR="00FA05F9" w:rsidRPr="00D01C0B" w:rsidRDefault="009B31E1" w:rsidP="00FA05F9">
            <w:pPr>
              <w:rPr>
                <w:rFonts w:cs="Arial"/>
                <w:b/>
                <w:bCs/>
                <w:sz w:val="18"/>
                <w:szCs w:val="18"/>
              </w:rPr>
            </w:pPr>
            <w:r w:rsidRPr="00D01C0B">
              <w:rPr>
                <w:rFonts w:cs="Arial"/>
                <w:b/>
                <w:bCs/>
                <w:sz w:val="18"/>
                <w:szCs w:val="18"/>
              </w:rPr>
              <w:t>Libraries and museums</w:t>
            </w:r>
          </w:p>
        </w:tc>
      </w:tr>
      <w:tr w:rsidR="004744FE" w:rsidTr="00FA05F9">
        <w:trPr>
          <w:trHeight w:val="48"/>
        </w:trPr>
        <w:tc>
          <w:tcPr>
            <w:tcW w:w="2614" w:type="dxa"/>
            <w:tcBorders>
              <w:top w:val="nil"/>
              <w:left w:val="single" w:sz="8" w:space="0" w:color="auto"/>
              <w:bottom w:val="single" w:sz="8" w:space="0" w:color="auto"/>
              <w:right w:val="single" w:sz="8" w:space="0" w:color="auto"/>
            </w:tcBorders>
            <w:shd w:val="clear" w:color="auto" w:fill="auto"/>
            <w:vAlign w:val="center"/>
            <w:hideMark/>
          </w:tcPr>
          <w:p w:rsidR="00FA05F9" w:rsidRPr="00D01C0B" w:rsidRDefault="009B31E1" w:rsidP="00FA05F9">
            <w:pPr>
              <w:rPr>
                <w:rFonts w:cs="Arial"/>
                <w:sz w:val="18"/>
                <w:szCs w:val="18"/>
              </w:rPr>
            </w:pPr>
            <w:r w:rsidRPr="00D01C0B">
              <w:rPr>
                <w:rFonts w:cs="Arial"/>
                <w:sz w:val="18"/>
                <w:szCs w:val="18"/>
              </w:rPr>
              <w:t>Number of visits to libraries each quarter</w:t>
            </w:r>
          </w:p>
        </w:tc>
        <w:tc>
          <w:tcPr>
            <w:tcW w:w="1162" w:type="dxa"/>
            <w:tcBorders>
              <w:top w:val="nil"/>
              <w:left w:val="nil"/>
              <w:bottom w:val="single" w:sz="8" w:space="0" w:color="auto"/>
              <w:right w:val="single" w:sz="8" w:space="0" w:color="auto"/>
            </w:tcBorders>
            <w:vAlign w:val="center"/>
            <w:hideMark/>
          </w:tcPr>
          <w:p w:rsidR="00FA05F9" w:rsidRPr="00D01C0B" w:rsidRDefault="009B31E1" w:rsidP="00FA05F9">
            <w:pPr>
              <w:jc w:val="center"/>
              <w:rPr>
                <w:rFonts w:cs="Arial"/>
                <w:sz w:val="18"/>
                <w:szCs w:val="18"/>
              </w:rPr>
            </w:pPr>
            <w:r w:rsidRPr="00D01C0B">
              <w:rPr>
                <w:rFonts w:cs="Arial"/>
                <w:sz w:val="18"/>
                <w:szCs w:val="18"/>
              </w:rPr>
              <w:t>H</w:t>
            </w:r>
          </w:p>
        </w:tc>
        <w:tc>
          <w:tcPr>
            <w:tcW w:w="1136" w:type="dxa"/>
            <w:tcBorders>
              <w:top w:val="nil"/>
              <w:left w:val="nil"/>
              <w:bottom w:val="single" w:sz="8"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3,629,830</w:t>
            </w:r>
          </w:p>
        </w:tc>
        <w:tc>
          <w:tcPr>
            <w:tcW w:w="1088" w:type="dxa"/>
            <w:tcBorders>
              <w:top w:val="nil"/>
              <w:left w:val="nil"/>
              <w:bottom w:val="single" w:sz="8"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924,536</w:t>
            </w:r>
          </w:p>
        </w:tc>
        <w:tc>
          <w:tcPr>
            <w:tcW w:w="957" w:type="dxa"/>
            <w:tcBorders>
              <w:top w:val="nil"/>
              <w:left w:val="nil"/>
              <w:bottom w:val="single" w:sz="8"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877,167</w:t>
            </w:r>
          </w:p>
        </w:tc>
        <w:tc>
          <w:tcPr>
            <w:tcW w:w="966" w:type="dxa"/>
            <w:tcBorders>
              <w:top w:val="nil"/>
              <w:left w:val="nil"/>
              <w:bottom w:val="single" w:sz="8"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 xml:space="preserve">928,172       </w:t>
            </w:r>
          </w:p>
        </w:tc>
        <w:tc>
          <w:tcPr>
            <w:tcW w:w="1432" w:type="dxa"/>
            <w:tcBorders>
              <w:top w:val="nil"/>
              <w:left w:val="nil"/>
              <w:bottom w:val="nil"/>
              <w:right w:val="single" w:sz="8" w:space="0" w:color="auto"/>
            </w:tcBorders>
            <w:shd w:val="clear" w:color="000000" w:fill="F7CAAC"/>
            <w:vAlign w:val="center"/>
          </w:tcPr>
          <w:p w:rsidR="00FA05F9" w:rsidRPr="00D01C0B" w:rsidRDefault="009B31E1" w:rsidP="00FA05F9">
            <w:pPr>
              <w:jc w:val="center"/>
              <w:rPr>
                <w:rFonts w:cs="Arial"/>
                <w:sz w:val="18"/>
                <w:szCs w:val="18"/>
              </w:rPr>
            </w:pPr>
            <w:r w:rsidRPr="00D01C0B">
              <w:rPr>
                <w:rFonts w:cs="Arial"/>
                <w:sz w:val="18"/>
                <w:szCs w:val="18"/>
              </w:rPr>
              <w:t>871,039</w:t>
            </w:r>
          </w:p>
        </w:tc>
      </w:tr>
      <w:tr w:rsidR="004744FE" w:rsidTr="00FA05F9">
        <w:trPr>
          <w:trHeight w:val="48"/>
        </w:trPr>
        <w:tc>
          <w:tcPr>
            <w:tcW w:w="2614" w:type="dxa"/>
            <w:tcBorders>
              <w:top w:val="nil"/>
              <w:left w:val="single" w:sz="8" w:space="0" w:color="auto"/>
              <w:bottom w:val="single" w:sz="4" w:space="0" w:color="auto"/>
              <w:right w:val="single" w:sz="8" w:space="0" w:color="auto"/>
            </w:tcBorders>
            <w:shd w:val="clear" w:color="auto" w:fill="auto"/>
            <w:vAlign w:val="center"/>
            <w:hideMark/>
          </w:tcPr>
          <w:p w:rsidR="00FA05F9" w:rsidRPr="00D01C0B" w:rsidRDefault="009B31E1" w:rsidP="00FA05F9">
            <w:pPr>
              <w:rPr>
                <w:rFonts w:cs="Arial"/>
                <w:sz w:val="18"/>
                <w:szCs w:val="18"/>
              </w:rPr>
            </w:pPr>
            <w:r w:rsidRPr="00D01C0B">
              <w:rPr>
                <w:rFonts w:cs="Arial"/>
                <w:sz w:val="18"/>
                <w:szCs w:val="18"/>
              </w:rPr>
              <w:t>Number of visits to museums each month</w:t>
            </w:r>
          </w:p>
        </w:tc>
        <w:tc>
          <w:tcPr>
            <w:tcW w:w="1162" w:type="dxa"/>
            <w:tcBorders>
              <w:top w:val="nil"/>
              <w:left w:val="nil"/>
              <w:bottom w:val="single" w:sz="8" w:space="0" w:color="auto"/>
              <w:right w:val="single" w:sz="8" w:space="0" w:color="auto"/>
            </w:tcBorders>
            <w:vAlign w:val="center"/>
            <w:hideMark/>
          </w:tcPr>
          <w:p w:rsidR="00FA05F9" w:rsidRPr="00D01C0B" w:rsidRDefault="009B31E1" w:rsidP="00FA05F9">
            <w:pPr>
              <w:jc w:val="center"/>
              <w:rPr>
                <w:rFonts w:cs="Arial"/>
                <w:sz w:val="18"/>
                <w:szCs w:val="18"/>
              </w:rPr>
            </w:pPr>
            <w:r w:rsidRPr="00D01C0B">
              <w:rPr>
                <w:rFonts w:cs="Arial"/>
                <w:sz w:val="18"/>
                <w:szCs w:val="18"/>
              </w:rPr>
              <w:t>H</w:t>
            </w:r>
          </w:p>
        </w:tc>
        <w:tc>
          <w:tcPr>
            <w:tcW w:w="1136" w:type="dxa"/>
            <w:tcBorders>
              <w:top w:val="nil"/>
              <w:left w:val="nil"/>
              <w:bottom w:val="single" w:sz="4"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176,781</w:t>
            </w:r>
          </w:p>
        </w:tc>
        <w:tc>
          <w:tcPr>
            <w:tcW w:w="1088" w:type="dxa"/>
            <w:tcBorders>
              <w:top w:val="nil"/>
              <w:left w:val="nil"/>
              <w:bottom w:val="single" w:sz="4"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59,032</w:t>
            </w:r>
          </w:p>
        </w:tc>
        <w:tc>
          <w:tcPr>
            <w:tcW w:w="957" w:type="dxa"/>
            <w:tcBorders>
              <w:top w:val="nil"/>
              <w:left w:val="nil"/>
              <w:bottom w:val="single" w:sz="4"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23,140</w:t>
            </w:r>
          </w:p>
        </w:tc>
        <w:tc>
          <w:tcPr>
            <w:tcW w:w="966" w:type="dxa"/>
            <w:tcBorders>
              <w:top w:val="nil"/>
              <w:left w:val="nil"/>
              <w:bottom w:val="single" w:sz="4"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 xml:space="preserve">17,316             </w:t>
            </w:r>
          </w:p>
        </w:tc>
        <w:tc>
          <w:tcPr>
            <w:tcW w:w="1432" w:type="dxa"/>
            <w:tcBorders>
              <w:top w:val="single" w:sz="8" w:space="0" w:color="auto"/>
              <w:left w:val="nil"/>
              <w:bottom w:val="single" w:sz="4" w:space="0" w:color="auto"/>
              <w:right w:val="single" w:sz="8" w:space="0" w:color="auto"/>
            </w:tcBorders>
            <w:shd w:val="clear" w:color="000000" w:fill="F8CBAD"/>
            <w:vAlign w:val="center"/>
          </w:tcPr>
          <w:p w:rsidR="00FA05F9" w:rsidRPr="00D01C0B" w:rsidRDefault="009B31E1" w:rsidP="00FA05F9">
            <w:pPr>
              <w:jc w:val="center"/>
              <w:rPr>
                <w:rFonts w:cs="Arial"/>
                <w:sz w:val="18"/>
                <w:szCs w:val="18"/>
              </w:rPr>
            </w:pPr>
            <w:r w:rsidRPr="00D01C0B">
              <w:rPr>
                <w:rFonts w:cs="Arial"/>
                <w:sz w:val="18"/>
                <w:szCs w:val="18"/>
              </w:rPr>
              <w:t>35,418</w:t>
            </w:r>
          </w:p>
        </w:tc>
      </w:tr>
      <w:tr w:rsidR="004744FE" w:rsidTr="00FA05F9">
        <w:trPr>
          <w:trHeight w:val="75"/>
        </w:trPr>
        <w:tc>
          <w:tcPr>
            <w:tcW w:w="26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05F9" w:rsidRPr="00D01C0B" w:rsidRDefault="009B31E1" w:rsidP="00FA05F9">
            <w:pPr>
              <w:rPr>
                <w:rFonts w:cs="Arial"/>
                <w:sz w:val="18"/>
                <w:szCs w:val="18"/>
              </w:rPr>
            </w:pPr>
            <w:r w:rsidRPr="00D01C0B">
              <w:rPr>
                <w:rFonts w:cs="Arial"/>
                <w:sz w:val="18"/>
                <w:szCs w:val="18"/>
              </w:rPr>
              <w:t>Number of E-Book downloads each month</w:t>
            </w:r>
          </w:p>
        </w:tc>
        <w:tc>
          <w:tcPr>
            <w:tcW w:w="1162" w:type="dxa"/>
            <w:tcBorders>
              <w:top w:val="nil"/>
              <w:left w:val="nil"/>
              <w:bottom w:val="single" w:sz="8" w:space="0" w:color="auto"/>
              <w:right w:val="single" w:sz="8" w:space="0" w:color="auto"/>
            </w:tcBorders>
            <w:vAlign w:val="center"/>
            <w:hideMark/>
          </w:tcPr>
          <w:p w:rsidR="00FA05F9" w:rsidRPr="00D01C0B" w:rsidRDefault="009B31E1" w:rsidP="00FA05F9">
            <w:pPr>
              <w:jc w:val="center"/>
              <w:rPr>
                <w:rFonts w:cs="Arial"/>
                <w:sz w:val="18"/>
                <w:szCs w:val="18"/>
              </w:rPr>
            </w:pPr>
            <w:r w:rsidRPr="00D01C0B">
              <w:rPr>
                <w:rFonts w:cs="Arial"/>
                <w:sz w:val="18"/>
                <w:szCs w:val="18"/>
              </w:rPr>
              <w:t>H</w:t>
            </w:r>
          </w:p>
        </w:tc>
        <w:tc>
          <w:tcPr>
            <w:tcW w:w="1136"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FA05F9" w:rsidRPr="00D01C0B" w:rsidRDefault="009B31E1" w:rsidP="00FA05F9">
            <w:pPr>
              <w:jc w:val="center"/>
              <w:rPr>
                <w:rFonts w:cs="Arial"/>
                <w:sz w:val="18"/>
                <w:szCs w:val="18"/>
              </w:rPr>
            </w:pPr>
            <w:r w:rsidRPr="00D01C0B">
              <w:rPr>
                <w:rFonts w:cs="Arial"/>
                <w:sz w:val="18"/>
                <w:szCs w:val="18"/>
              </w:rPr>
              <w:t>255,572</w:t>
            </w:r>
          </w:p>
        </w:tc>
        <w:tc>
          <w:tcPr>
            <w:tcW w:w="1088" w:type="dxa"/>
            <w:tcBorders>
              <w:top w:val="single" w:sz="4" w:space="0" w:color="auto"/>
              <w:left w:val="nil"/>
              <w:bottom w:val="single" w:sz="4" w:space="0" w:color="auto"/>
              <w:right w:val="single" w:sz="8" w:space="0" w:color="auto"/>
            </w:tcBorders>
            <w:shd w:val="clear" w:color="auto" w:fill="C5E0B3" w:themeFill="accent6" w:themeFillTint="66"/>
            <w:vAlign w:val="center"/>
            <w:hideMark/>
          </w:tcPr>
          <w:p w:rsidR="00FA05F9" w:rsidRPr="00D01C0B" w:rsidRDefault="009B31E1" w:rsidP="00FA05F9">
            <w:pPr>
              <w:jc w:val="center"/>
              <w:rPr>
                <w:rFonts w:cs="Arial"/>
                <w:sz w:val="18"/>
                <w:szCs w:val="18"/>
              </w:rPr>
            </w:pPr>
            <w:r w:rsidRPr="00D01C0B">
              <w:rPr>
                <w:rFonts w:cs="Arial"/>
                <w:sz w:val="18"/>
                <w:szCs w:val="18"/>
              </w:rPr>
              <w:t>64,857</w:t>
            </w:r>
          </w:p>
        </w:tc>
        <w:tc>
          <w:tcPr>
            <w:tcW w:w="957" w:type="dxa"/>
            <w:tcBorders>
              <w:top w:val="single" w:sz="4" w:space="0" w:color="auto"/>
              <w:left w:val="nil"/>
              <w:bottom w:val="single" w:sz="4" w:space="0" w:color="auto"/>
              <w:right w:val="single" w:sz="8" w:space="0" w:color="auto"/>
            </w:tcBorders>
            <w:shd w:val="clear" w:color="auto" w:fill="C5E0B3" w:themeFill="accent6" w:themeFillTint="66"/>
            <w:vAlign w:val="center"/>
            <w:hideMark/>
          </w:tcPr>
          <w:p w:rsidR="00FA05F9" w:rsidRPr="00D01C0B" w:rsidRDefault="009B31E1" w:rsidP="00FA05F9">
            <w:pPr>
              <w:jc w:val="center"/>
              <w:rPr>
                <w:rFonts w:cs="Arial"/>
                <w:sz w:val="18"/>
                <w:szCs w:val="18"/>
              </w:rPr>
            </w:pPr>
            <w:r w:rsidRPr="00D01C0B">
              <w:rPr>
                <w:rFonts w:cs="Arial"/>
                <w:sz w:val="18"/>
                <w:szCs w:val="18"/>
              </w:rPr>
              <w:t>64,779</w:t>
            </w:r>
          </w:p>
        </w:tc>
        <w:tc>
          <w:tcPr>
            <w:tcW w:w="966"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FA05F9" w:rsidRPr="00D01C0B" w:rsidRDefault="009B31E1" w:rsidP="00FA05F9">
            <w:pPr>
              <w:jc w:val="center"/>
              <w:rPr>
                <w:rFonts w:cs="Arial"/>
                <w:sz w:val="18"/>
                <w:szCs w:val="18"/>
              </w:rPr>
            </w:pPr>
            <w:r w:rsidRPr="00D01C0B">
              <w:rPr>
                <w:rFonts w:cs="Arial"/>
                <w:sz w:val="18"/>
                <w:szCs w:val="18"/>
              </w:rPr>
              <w:t xml:space="preserve">67,277            </w:t>
            </w:r>
          </w:p>
        </w:tc>
        <w:tc>
          <w:tcPr>
            <w:tcW w:w="1432" w:type="dxa"/>
            <w:tcBorders>
              <w:top w:val="single" w:sz="4" w:space="0" w:color="auto"/>
              <w:left w:val="nil"/>
              <w:bottom w:val="single" w:sz="8" w:space="0" w:color="auto"/>
              <w:right w:val="single" w:sz="8" w:space="0" w:color="auto"/>
            </w:tcBorders>
            <w:shd w:val="clear" w:color="000000" w:fill="C6E0B4"/>
            <w:vAlign w:val="center"/>
          </w:tcPr>
          <w:p w:rsidR="00FA05F9" w:rsidRPr="00D01C0B" w:rsidRDefault="009B31E1" w:rsidP="00FA05F9">
            <w:pPr>
              <w:jc w:val="center"/>
              <w:rPr>
                <w:rFonts w:cs="Arial"/>
                <w:sz w:val="18"/>
                <w:szCs w:val="18"/>
              </w:rPr>
            </w:pPr>
            <w:r w:rsidRPr="00D01C0B">
              <w:rPr>
                <w:rFonts w:cs="Arial"/>
                <w:sz w:val="18"/>
                <w:szCs w:val="18"/>
              </w:rPr>
              <w:t>72,229</w:t>
            </w:r>
          </w:p>
        </w:tc>
      </w:tr>
      <w:tr w:rsidR="004744FE" w:rsidTr="00FA05F9">
        <w:trPr>
          <w:trHeight w:val="66"/>
        </w:trPr>
        <w:tc>
          <w:tcPr>
            <w:tcW w:w="26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A05F9" w:rsidRPr="00D01C0B" w:rsidRDefault="009B31E1" w:rsidP="00FA05F9">
            <w:pPr>
              <w:rPr>
                <w:rFonts w:cs="Arial"/>
                <w:sz w:val="18"/>
                <w:szCs w:val="18"/>
              </w:rPr>
            </w:pPr>
            <w:r w:rsidRPr="00D01C0B">
              <w:rPr>
                <w:rFonts w:cs="Arial"/>
                <w:sz w:val="18"/>
                <w:szCs w:val="18"/>
              </w:rPr>
              <w:t>Number of library public issues each month</w:t>
            </w:r>
          </w:p>
        </w:tc>
        <w:tc>
          <w:tcPr>
            <w:tcW w:w="1162" w:type="dxa"/>
            <w:tcBorders>
              <w:top w:val="nil"/>
              <w:left w:val="nil"/>
              <w:bottom w:val="single" w:sz="8" w:space="0" w:color="auto"/>
              <w:right w:val="single" w:sz="8" w:space="0" w:color="auto"/>
            </w:tcBorders>
            <w:vAlign w:val="center"/>
            <w:hideMark/>
          </w:tcPr>
          <w:p w:rsidR="00FA05F9" w:rsidRPr="00D01C0B" w:rsidRDefault="009B31E1" w:rsidP="00FA05F9">
            <w:pPr>
              <w:jc w:val="center"/>
              <w:rPr>
                <w:rFonts w:cs="Arial"/>
                <w:sz w:val="18"/>
                <w:szCs w:val="18"/>
              </w:rPr>
            </w:pPr>
            <w:r w:rsidRPr="00D01C0B">
              <w:rPr>
                <w:rFonts w:cs="Arial"/>
                <w:sz w:val="18"/>
                <w:szCs w:val="18"/>
              </w:rPr>
              <w:t>H</w:t>
            </w:r>
          </w:p>
        </w:tc>
        <w:tc>
          <w:tcPr>
            <w:tcW w:w="1136" w:type="dxa"/>
            <w:tcBorders>
              <w:top w:val="single" w:sz="4" w:space="0" w:color="auto"/>
              <w:left w:val="nil"/>
              <w:bottom w:val="single" w:sz="8"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3,690,562</w:t>
            </w:r>
          </w:p>
        </w:tc>
        <w:tc>
          <w:tcPr>
            <w:tcW w:w="1088"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967,543</w:t>
            </w:r>
          </w:p>
        </w:tc>
        <w:tc>
          <w:tcPr>
            <w:tcW w:w="957"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D01C0B" w:rsidRDefault="009B31E1" w:rsidP="00FA05F9">
            <w:pPr>
              <w:jc w:val="center"/>
              <w:rPr>
                <w:rFonts w:cs="Arial"/>
                <w:sz w:val="18"/>
                <w:szCs w:val="18"/>
              </w:rPr>
            </w:pPr>
            <w:r w:rsidRPr="00D01C0B">
              <w:rPr>
                <w:rFonts w:cs="Arial"/>
                <w:sz w:val="18"/>
                <w:szCs w:val="18"/>
              </w:rPr>
              <w:t>873,920</w:t>
            </w:r>
          </w:p>
        </w:tc>
        <w:tc>
          <w:tcPr>
            <w:tcW w:w="966" w:type="dxa"/>
            <w:tcBorders>
              <w:top w:val="single" w:sz="4" w:space="0" w:color="auto"/>
              <w:left w:val="nil"/>
              <w:bottom w:val="single" w:sz="8" w:space="0" w:color="auto"/>
              <w:right w:val="single" w:sz="8" w:space="0" w:color="auto"/>
            </w:tcBorders>
            <w:shd w:val="clear" w:color="auto" w:fill="F7CAAC" w:themeFill="accent2" w:themeFillTint="66"/>
            <w:vAlign w:val="center"/>
          </w:tcPr>
          <w:p w:rsidR="00FA05F9" w:rsidRPr="00D01C0B" w:rsidRDefault="009B31E1" w:rsidP="00FA05F9">
            <w:pPr>
              <w:jc w:val="center"/>
              <w:rPr>
                <w:rFonts w:cs="Arial"/>
                <w:sz w:val="18"/>
                <w:szCs w:val="18"/>
              </w:rPr>
            </w:pPr>
            <w:r w:rsidRPr="00D01C0B">
              <w:rPr>
                <w:rFonts w:cs="Arial"/>
                <w:sz w:val="18"/>
                <w:szCs w:val="18"/>
              </w:rPr>
              <w:t xml:space="preserve">902,851       </w:t>
            </w:r>
          </w:p>
        </w:tc>
        <w:tc>
          <w:tcPr>
            <w:tcW w:w="1432" w:type="dxa"/>
            <w:tcBorders>
              <w:top w:val="single" w:sz="4" w:space="0" w:color="auto"/>
              <w:left w:val="nil"/>
              <w:bottom w:val="single" w:sz="8" w:space="0" w:color="auto"/>
              <w:right w:val="single" w:sz="8" w:space="0" w:color="auto"/>
            </w:tcBorders>
            <w:shd w:val="clear" w:color="000000" w:fill="F8CBAD"/>
            <w:vAlign w:val="center"/>
          </w:tcPr>
          <w:p w:rsidR="00FA05F9" w:rsidRPr="00D01C0B" w:rsidRDefault="009B31E1" w:rsidP="00FA05F9">
            <w:pPr>
              <w:jc w:val="center"/>
              <w:rPr>
                <w:rFonts w:cs="Arial"/>
                <w:sz w:val="18"/>
                <w:szCs w:val="18"/>
              </w:rPr>
            </w:pPr>
            <w:r w:rsidRPr="00D01C0B">
              <w:rPr>
                <w:rFonts w:cs="Arial"/>
                <w:sz w:val="18"/>
                <w:szCs w:val="18"/>
              </w:rPr>
              <w:t>888,265</w:t>
            </w:r>
          </w:p>
        </w:tc>
      </w:tr>
    </w:tbl>
    <w:p w:rsidR="00FA05F9" w:rsidRPr="005A72D2" w:rsidRDefault="00FA05F9" w:rsidP="00FA05F9">
      <w:pPr>
        <w:rPr>
          <w:b/>
          <w:i/>
        </w:rPr>
      </w:pPr>
    </w:p>
    <w:p w:rsidR="00FA05F9" w:rsidRPr="00D01C0B" w:rsidRDefault="009B31E1" w:rsidP="009A60AA">
      <w:pPr>
        <w:jc w:val="both"/>
        <w:rPr>
          <w:rFonts w:ascii="Calibri" w:hAnsi="Calibri"/>
          <w:sz w:val="22"/>
        </w:rPr>
      </w:pPr>
      <w:r w:rsidRPr="00D01C0B">
        <w:t xml:space="preserve">Visitor numbers to libraries and library public issues have followed expected seasonal trends in quarter 1 of 2019/20, which normally sees a minor drop off early in the </w:t>
      </w:r>
      <w:r w:rsidRPr="00D01C0B">
        <w:lastRenderedPageBreak/>
        <w:t>quarter, at least partly in line with Bank Holiday closings. However, eBook downloads have certainly not demonstrated any such trend and continue to rise.</w:t>
      </w:r>
    </w:p>
    <w:p w:rsidR="00FA05F9" w:rsidRPr="00D01C0B" w:rsidRDefault="00FA05F9" w:rsidP="009A60AA">
      <w:pPr>
        <w:jc w:val="both"/>
      </w:pPr>
    </w:p>
    <w:p w:rsidR="00FA05F9" w:rsidRDefault="009B31E1" w:rsidP="009A60AA">
      <w:pPr>
        <w:jc w:val="both"/>
        <w:rPr>
          <w:b/>
        </w:rPr>
      </w:pPr>
      <w:r w:rsidRPr="00D01C0B">
        <w:t>2018/19 saw a significant fall in museum visitor numbers due to the return of three museums to Lancaster City Council. Additionally</w:t>
      </w:r>
      <w:r w:rsidR="009A60AA">
        <w:t>,</w:t>
      </w:r>
      <w:r w:rsidRPr="00D01C0B">
        <w:t xml:space="preserve"> seasonal closures of the </w:t>
      </w:r>
      <w:proofErr w:type="spellStart"/>
      <w:r w:rsidRPr="00D01C0B">
        <w:t>Helmshore</w:t>
      </w:r>
      <w:proofErr w:type="spellEnd"/>
      <w:r w:rsidRPr="00D01C0B">
        <w:t xml:space="preserve"> Museum, </w:t>
      </w:r>
      <w:proofErr w:type="spellStart"/>
      <w:r w:rsidRPr="00D01C0B">
        <w:t>Gawthorpe</w:t>
      </w:r>
      <w:proofErr w:type="spellEnd"/>
      <w:r w:rsidRPr="00D01C0B">
        <w:t xml:space="preserve"> Hall and Queen Street Mill over the winter contributed to this fall, but visitor numbers have</w:t>
      </w:r>
      <w:r w:rsidR="009A60AA">
        <w:t xml:space="preserve"> been picking up as the spring/</w:t>
      </w:r>
      <w:r w:rsidRPr="00D01C0B">
        <w:t>summer opening season has got underway.</w:t>
      </w:r>
      <w:r w:rsidRPr="00D01C0B">
        <w:rPr>
          <w:b/>
        </w:rPr>
        <w:t xml:space="preserve"> </w:t>
      </w:r>
    </w:p>
    <w:p w:rsidR="00FA05F9" w:rsidRPr="00834C1F" w:rsidRDefault="00FA05F9" w:rsidP="00FA05F9">
      <w:pPr>
        <w:rPr>
          <w:b/>
        </w:rPr>
      </w:pPr>
    </w:p>
    <w:p w:rsidR="00FA05F9" w:rsidRPr="00834C1F" w:rsidRDefault="009B31E1" w:rsidP="00FA05F9">
      <w:pPr>
        <w:rPr>
          <w:b/>
        </w:rPr>
      </w:pPr>
      <w:r w:rsidRPr="00834C1F">
        <w:rPr>
          <w:b/>
        </w:rPr>
        <w:t xml:space="preserve">Growth, Environment, Transport and Community Services </w:t>
      </w:r>
    </w:p>
    <w:p w:rsidR="00FA05F9" w:rsidRPr="00834C1F" w:rsidRDefault="00FA05F9" w:rsidP="00FA05F9">
      <w:pPr>
        <w:rPr>
          <w:b/>
        </w:rPr>
      </w:pPr>
    </w:p>
    <w:tbl>
      <w:tblPr>
        <w:tblW w:w="30789" w:type="dxa"/>
        <w:tblInd w:w="-10" w:type="dxa"/>
        <w:tblLayout w:type="fixed"/>
        <w:tblLook w:val="04A0" w:firstRow="1" w:lastRow="0" w:firstColumn="1" w:lastColumn="0" w:noHBand="0" w:noVBand="1"/>
      </w:tblPr>
      <w:tblGrid>
        <w:gridCol w:w="2550"/>
        <w:gridCol w:w="1370"/>
        <w:gridCol w:w="967"/>
        <w:gridCol w:w="967"/>
        <w:gridCol w:w="1328"/>
        <w:gridCol w:w="992"/>
        <w:gridCol w:w="4763"/>
        <w:gridCol w:w="4463"/>
        <w:gridCol w:w="4463"/>
        <w:gridCol w:w="4463"/>
        <w:gridCol w:w="4463"/>
      </w:tblGrid>
      <w:tr w:rsidR="004744FE" w:rsidTr="00FA05F9">
        <w:trPr>
          <w:gridAfter w:val="5"/>
          <w:wAfter w:w="22615" w:type="dxa"/>
          <w:trHeight w:val="616"/>
        </w:trPr>
        <w:tc>
          <w:tcPr>
            <w:tcW w:w="2550"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FA05F9" w:rsidRPr="00834C1F" w:rsidRDefault="009B31E1" w:rsidP="00FA05F9">
            <w:pPr>
              <w:rPr>
                <w:rFonts w:cs="Arial"/>
                <w:b/>
                <w:bCs/>
                <w:sz w:val="18"/>
                <w:szCs w:val="18"/>
              </w:rPr>
            </w:pPr>
            <w:r w:rsidRPr="00834C1F">
              <w:rPr>
                <w:rFonts w:cs="Arial"/>
                <w:b/>
                <w:bCs/>
                <w:sz w:val="18"/>
                <w:szCs w:val="18"/>
              </w:rPr>
              <w:t>Performance Measure</w:t>
            </w:r>
            <w:r w:rsidRPr="00834C1F">
              <w:rPr>
                <w:rFonts w:ascii="Calibri" w:hAnsi="Calibri" w:cs="Arial"/>
                <w:sz w:val="16"/>
                <w:szCs w:val="16"/>
              </w:rPr>
              <w:t> </w:t>
            </w:r>
          </w:p>
        </w:tc>
        <w:tc>
          <w:tcPr>
            <w:tcW w:w="1370" w:type="dxa"/>
            <w:tcBorders>
              <w:top w:val="single" w:sz="4" w:space="0" w:color="auto"/>
              <w:left w:val="nil"/>
              <w:bottom w:val="single" w:sz="8" w:space="0" w:color="auto"/>
              <w:right w:val="single" w:sz="8" w:space="0" w:color="auto"/>
            </w:tcBorders>
            <w:shd w:val="clear" w:color="000000" w:fill="F2F2F2"/>
            <w:vAlign w:val="center"/>
            <w:hideMark/>
          </w:tcPr>
          <w:p w:rsidR="00FA05F9" w:rsidRPr="00834C1F" w:rsidRDefault="009B31E1" w:rsidP="00FA05F9">
            <w:pPr>
              <w:jc w:val="center"/>
              <w:rPr>
                <w:rFonts w:cs="Arial"/>
                <w:b/>
                <w:bCs/>
                <w:sz w:val="18"/>
                <w:szCs w:val="18"/>
              </w:rPr>
            </w:pPr>
            <w:r w:rsidRPr="00834C1F">
              <w:rPr>
                <w:rFonts w:cs="Arial"/>
                <w:b/>
                <w:bCs/>
                <w:sz w:val="18"/>
                <w:szCs w:val="18"/>
              </w:rPr>
              <w:t>Good is High or Low</w:t>
            </w:r>
          </w:p>
        </w:tc>
        <w:tc>
          <w:tcPr>
            <w:tcW w:w="967" w:type="dxa"/>
            <w:tcBorders>
              <w:top w:val="single" w:sz="4" w:space="0" w:color="auto"/>
              <w:left w:val="nil"/>
              <w:bottom w:val="single" w:sz="8" w:space="0" w:color="auto"/>
              <w:right w:val="single" w:sz="8" w:space="0" w:color="auto"/>
            </w:tcBorders>
            <w:shd w:val="clear" w:color="000000" w:fill="F2F2F2"/>
            <w:vAlign w:val="center"/>
            <w:hideMark/>
          </w:tcPr>
          <w:p w:rsidR="00FA05F9" w:rsidRPr="00834C1F" w:rsidRDefault="009B31E1" w:rsidP="00FA05F9">
            <w:pPr>
              <w:jc w:val="center"/>
              <w:rPr>
                <w:rFonts w:cs="Arial"/>
                <w:b/>
                <w:bCs/>
                <w:sz w:val="18"/>
                <w:szCs w:val="18"/>
              </w:rPr>
            </w:pPr>
            <w:r w:rsidRPr="00834C1F">
              <w:rPr>
                <w:rFonts w:cs="Arial"/>
                <w:b/>
                <w:bCs/>
                <w:sz w:val="18"/>
                <w:szCs w:val="18"/>
              </w:rPr>
              <w:t>2017/18</w:t>
            </w:r>
          </w:p>
        </w:tc>
        <w:tc>
          <w:tcPr>
            <w:tcW w:w="967" w:type="dxa"/>
            <w:tcBorders>
              <w:top w:val="single" w:sz="4" w:space="0" w:color="auto"/>
              <w:left w:val="nil"/>
              <w:bottom w:val="single" w:sz="8" w:space="0" w:color="auto"/>
              <w:right w:val="single" w:sz="8" w:space="0" w:color="auto"/>
            </w:tcBorders>
            <w:shd w:val="clear" w:color="000000" w:fill="F2F2F2"/>
            <w:vAlign w:val="center"/>
            <w:hideMark/>
          </w:tcPr>
          <w:p w:rsidR="00FA05F9" w:rsidRPr="00834C1F" w:rsidRDefault="009B31E1" w:rsidP="00FA05F9">
            <w:pPr>
              <w:jc w:val="center"/>
              <w:rPr>
                <w:rFonts w:cs="Arial"/>
                <w:b/>
                <w:bCs/>
                <w:sz w:val="18"/>
                <w:szCs w:val="18"/>
              </w:rPr>
            </w:pPr>
            <w:r w:rsidRPr="00834C1F">
              <w:rPr>
                <w:rFonts w:cs="Arial"/>
                <w:b/>
                <w:bCs/>
                <w:sz w:val="18"/>
                <w:szCs w:val="18"/>
              </w:rPr>
              <w:t xml:space="preserve">Q1 </w:t>
            </w:r>
          </w:p>
          <w:p w:rsidR="00FA05F9" w:rsidRPr="00834C1F" w:rsidRDefault="009B31E1" w:rsidP="00FA05F9">
            <w:pPr>
              <w:jc w:val="center"/>
              <w:rPr>
                <w:rFonts w:cs="Arial"/>
                <w:b/>
                <w:bCs/>
                <w:sz w:val="18"/>
                <w:szCs w:val="18"/>
              </w:rPr>
            </w:pPr>
            <w:r w:rsidRPr="00834C1F">
              <w:rPr>
                <w:rFonts w:cs="Arial"/>
                <w:b/>
                <w:bCs/>
                <w:sz w:val="18"/>
                <w:szCs w:val="18"/>
              </w:rPr>
              <w:t>2018/19</w:t>
            </w:r>
          </w:p>
        </w:tc>
        <w:tc>
          <w:tcPr>
            <w:tcW w:w="1328" w:type="dxa"/>
            <w:tcBorders>
              <w:top w:val="single" w:sz="4" w:space="0" w:color="auto"/>
              <w:left w:val="nil"/>
              <w:bottom w:val="single" w:sz="8" w:space="0" w:color="auto"/>
              <w:right w:val="single" w:sz="8" w:space="0" w:color="auto"/>
            </w:tcBorders>
            <w:shd w:val="clear" w:color="000000" w:fill="F2F2F2"/>
            <w:vAlign w:val="center"/>
          </w:tcPr>
          <w:p w:rsidR="00FA05F9" w:rsidRPr="00834C1F" w:rsidRDefault="009B31E1" w:rsidP="00FA05F9">
            <w:pPr>
              <w:jc w:val="center"/>
              <w:rPr>
                <w:rFonts w:cs="Arial"/>
                <w:b/>
                <w:bCs/>
                <w:sz w:val="18"/>
                <w:szCs w:val="18"/>
              </w:rPr>
            </w:pPr>
            <w:r w:rsidRPr="00834C1F">
              <w:rPr>
                <w:rFonts w:cs="Arial"/>
                <w:b/>
                <w:bCs/>
                <w:sz w:val="18"/>
                <w:szCs w:val="18"/>
              </w:rPr>
              <w:t>Q4</w:t>
            </w:r>
          </w:p>
          <w:p w:rsidR="00FA05F9" w:rsidRPr="00834C1F" w:rsidRDefault="009B31E1" w:rsidP="00FA05F9">
            <w:pPr>
              <w:jc w:val="center"/>
              <w:rPr>
                <w:rFonts w:cs="Arial"/>
                <w:b/>
                <w:bCs/>
                <w:sz w:val="18"/>
                <w:szCs w:val="18"/>
              </w:rPr>
            </w:pPr>
            <w:r w:rsidRPr="00834C1F">
              <w:rPr>
                <w:rFonts w:cs="Arial"/>
                <w:b/>
                <w:bCs/>
                <w:sz w:val="18"/>
                <w:szCs w:val="18"/>
              </w:rPr>
              <w:t>2018/19</w:t>
            </w:r>
          </w:p>
        </w:tc>
        <w:tc>
          <w:tcPr>
            <w:tcW w:w="992" w:type="dxa"/>
            <w:tcBorders>
              <w:top w:val="single" w:sz="4" w:space="0" w:color="auto"/>
              <w:left w:val="nil"/>
              <w:bottom w:val="single" w:sz="8" w:space="0" w:color="auto"/>
              <w:right w:val="single" w:sz="8" w:space="0" w:color="auto"/>
            </w:tcBorders>
            <w:shd w:val="clear" w:color="000000" w:fill="F2F2F2"/>
            <w:vAlign w:val="center"/>
          </w:tcPr>
          <w:p w:rsidR="00FA05F9" w:rsidRPr="00834C1F" w:rsidRDefault="009B31E1" w:rsidP="00FA05F9">
            <w:pPr>
              <w:jc w:val="center"/>
              <w:rPr>
                <w:rFonts w:cs="Arial"/>
                <w:b/>
                <w:bCs/>
                <w:sz w:val="18"/>
                <w:szCs w:val="18"/>
              </w:rPr>
            </w:pPr>
            <w:r w:rsidRPr="00834C1F">
              <w:rPr>
                <w:rFonts w:cs="Arial"/>
                <w:b/>
                <w:bCs/>
                <w:sz w:val="18"/>
                <w:szCs w:val="18"/>
              </w:rPr>
              <w:t>Q1</w:t>
            </w:r>
          </w:p>
          <w:p w:rsidR="00FA05F9" w:rsidRPr="00834C1F" w:rsidRDefault="009B31E1" w:rsidP="00FA05F9">
            <w:pPr>
              <w:jc w:val="center"/>
              <w:rPr>
                <w:rFonts w:cs="Arial"/>
                <w:b/>
                <w:bCs/>
                <w:sz w:val="18"/>
                <w:szCs w:val="18"/>
              </w:rPr>
            </w:pPr>
            <w:r w:rsidRPr="00834C1F">
              <w:rPr>
                <w:rFonts w:cs="Arial"/>
                <w:b/>
                <w:bCs/>
                <w:sz w:val="18"/>
                <w:szCs w:val="18"/>
              </w:rPr>
              <w:t>2019/20</w:t>
            </w:r>
          </w:p>
        </w:tc>
      </w:tr>
      <w:tr w:rsidR="004744FE" w:rsidTr="00FA05F9">
        <w:trPr>
          <w:gridAfter w:val="5"/>
          <w:wAfter w:w="22615" w:type="dxa"/>
          <w:trHeight w:val="60"/>
        </w:trPr>
        <w:tc>
          <w:tcPr>
            <w:tcW w:w="2550"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FA05F9" w:rsidRPr="00834C1F" w:rsidRDefault="009B31E1" w:rsidP="00FA05F9">
            <w:pPr>
              <w:rPr>
                <w:rFonts w:cs="Arial"/>
                <w:b/>
                <w:bCs/>
                <w:sz w:val="18"/>
                <w:szCs w:val="18"/>
              </w:rPr>
            </w:pPr>
            <w:r w:rsidRPr="00834C1F">
              <w:rPr>
                <w:rFonts w:cs="Arial"/>
                <w:b/>
                <w:bCs/>
                <w:sz w:val="18"/>
                <w:szCs w:val="18"/>
              </w:rPr>
              <w:t>Highways</w:t>
            </w:r>
          </w:p>
        </w:tc>
        <w:tc>
          <w:tcPr>
            <w:tcW w:w="1370" w:type="dxa"/>
            <w:tcBorders>
              <w:top w:val="single" w:sz="8" w:space="0" w:color="auto"/>
              <w:left w:val="single" w:sz="8" w:space="0" w:color="auto"/>
              <w:bottom w:val="single" w:sz="8" w:space="0" w:color="auto"/>
              <w:right w:val="single" w:sz="8" w:space="0" w:color="000000"/>
            </w:tcBorders>
            <w:shd w:val="clear" w:color="000000" w:fill="F2F2F2"/>
            <w:vAlign w:val="center"/>
          </w:tcPr>
          <w:p w:rsidR="00FA05F9" w:rsidRPr="00834C1F" w:rsidRDefault="00FA05F9" w:rsidP="00FA05F9">
            <w:pPr>
              <w:rPr>
                <w:rFonts w:cs="Arial"/>
                <w:b/>
                <w:bCs/>
                <w:sz w:val="18"/>
                <w:szCs w:val="18"/>
              </w:rPr>
            </w:pPr>
          </w:p>
        </w:tc>
        <w:tc>
          <w:tcPr>
            <w:tcW w:w="967" w:type="dxa"/>
            <w:tcBorders>
              <w:top w:val="single" w:sz="8" w:space="0" w:color="auto"/>
              <w:left w:val="single" w:sz="8" w:space="0" w:color="auto"/>
              <w:bottom w:val="single" w:sz="8" w:space="0" w:color="auto"/>
              <w:right w:val="single" w:sz="8" w:space="0" w:color="000000"/>
            </w:tcBorders>
            <w:shd w:val="clear" w:color="000000" w:fill="F2F2F2"/>
            <w:vAlign w:val="center"/>
          </w:tcPr>
          <w:p w:rsidR="00FA05F9" w:rsidRPr="00834C1F" w:rsidRDefault="00FA05F9" w:rsidP="00FA05F9">
            <w:pPr>
              <w:rPr>
                <w:rFonts w:cs="Arial"/>
                <w:b/>
                <w:bCs/>
                <w:sz w:val="18"/>
                <w:szCs w:val="18"/>
              </w:rPr>
            </w:pPr>
          </w:p>
        </w:tc>
        <w:tc>
          <w:tcPr>
            <w:tcW w:w="967" w:type="dxa"/>
            <w:tcBorders>
              <w:top w:val="single" w:sz="8" w:space="0" w:color="auto"/>
              <w:left w:val="single" w:sz="8" w:space="0" w:color="auto"/>
              <w:bottom w:val="single" w:sz="8" w:space="0" w:color="auto"/>
              <w:right w:val="single" w:sz="8" w:space="0" w:color="000000"/>
            </w:tcBorders>
            <w:shd w:val="clear" w:color="000000" w:fill="F2F2F2"/>
            <w:vAlign w:val="center"/>
          </w:tcPr>
          <w:p w:rsidR="00FA05F9" w:rsidRPr="00834C1F" w:rsidRDefault="00FA05F9" w:rsidP="00FA05F9">
            <w:pPr>
              <w:rPr>
                <w:rFonts w:cs="Arial"/>
                <w:b/>
                <w:bCs/>
                <w:sz w:val="18"/>
                <w:szCs w:val="18"/>
              </w:rPr>
            </w:pPr>
          </w:p>
        </w:tc>
        <w:tc>
          <w:tcPr>
            <w:tcW w:w="1328" w:type="dxa"/>
            <w:tcBorders>
              <w:top w:val="single" w:sz="8" w:space="0" w:color="auto"/>
              <w:left w:val="single" w:sz="8" w:space="0" w:color="auto"/>
              <w:bottom w:val="single" w:sz="8" w:space="0" w:color="auto"/>
              <w:right w:val="single" w:sz="8" w:space="0" w:color="000000"/>
            </w:tcBorders>
            <w:shd w:val="clear" w:color="000000" w:fill="F2F2F2"/>
            <w:vAlign w:val="center"/>
          </w:tcPr>
          <w:p w:rsidR="00FA05F9" w:rsidRPr="00834C1F" w:rsidRDefault="00FA05F9" w:rsidP="00FA05F9">
            <w:pPr>
              <w:jc w:val="center"/>
              <w:rPr>
                <w:rFonts w:cs="Arial"/>
                <w:b/>
                <w:bCs/>
                <w:sz w:val="18"/>
                <w:szCs w:val="18"/>
              </w:rPr>
            </w:pPr>
          </w:p>
        </w:tc>
        <w:tc>
          <w:tcPr>
            <w:tcW w:w="992" w:type="dxa"/>
            <w:tcBorders>
              <w:top w:val="single" w:sz="8" w:space="0" w:color="auto"/>
              <w:left w:val="single" w:sz="8" w:space="0" w:color="auto"/>
              <w:bottom w:val="single" w:sz="8" w:space="0" w:color="auto"/>
              <w:right w:val="single" w:sz="8" w:space="0" w:color="000000"/>
            </w:tcBorders>
            <w:shd w:val="clear" w:color="000000" w:fill="F2F2F2"/>
            <w:vAlign w:val="center"/>
          </w:tcPr>
          <w:p w:rsidR="00FA05F9" w:rsidRPr="00834C1F" w:rsidRDefault="00FA05F9" w:rsidP="00FA05F9">
            <w:pPr>
              <w:jc w:val="center"/>
              <w:rPr>
                <w:rFonts w:cs="Arial"/>
                <w:b/>
                <w:bCs/>
                <w:sz w:val="18"/>
                <w:szCs w:val="18"/>
              </w:rPr>
            </w:pPr>
          </w:p>
        </w:tc>
      </w:tr>
      <w:tr w:rsidR="004744FE" w:rsidTr="00FA05F9">
        <w:trPr>
          <w:gridAfter w:val="5"/>
          <w:wAfter w:w="22615" w:type="dxa"/>
          <w:trHeight w:val="301"/>
        </w:trPr>
        <w:tc>
          <w:tcPr>
            <w:tcW w:w="2550" w:type="dxa"/>
            <w:tcBorders>
              <w:top w:val="single" w:sz="4" w:space="0" w:color="auto"/>
              <w:left w:val="single" w:sz="8" w:space="0" w:color="auto"/>
              <w:bottom w:val="single" w:sz="4" w:space="0" w:color="auto"/>
              <w:right w:val="single" w:sz="8" w:space="0" w:color="auto"/>
            </w:tcBorders>
            <w:shd w:val="clear" w:color="auto" w:fill="auto"/>
          </w:tcPr>
          <w:p w:rsidR="00FA05F9" w:rsidRPr="00834C1F" w:rsidRDefault="009B31E1" w:rsidP="00FA05F9">
            <w:pPr>
              <w:rPr>
                <w:rFonts w:cs="Arial"/>
                <w:sz w:val="18"/>
                <w:szCs w:val="18"/>
              </w:rPr>
            </w:pPr>
            <w:r w:rsidRPr="00834C1F">
              <w:rPr>
                <w:rFonts w:cs="Arial"/>
                <w:sz w:val="18"/>
                <w:szCs w:val="18"/>
              </w:rPr>
              <w:t>Safety Carriageway Defects repaired within 4 hours (emergency) target 95%</w:t>
            </w:r>
          </w:p>
        </w:tc>
        <w:tc>
          <w:tcPr>
            <w:tcW w:w="1370"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1328"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95.65%</w:t>
            </w:r>
          </w:p>
        </w:tc>
        <w:tc>
          <w:tcPr>
            <w:tcW w:w="992"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96.67%</w:t>
            </w:r>
          </w:p>
        </w:tc>
      </w:tr>
      <w:tr w:rsidR="004744FE" w:rsidTr="00FA05F9">
        <w:trPr>
          <w:gridAfter w:val="5"/>
          <w:wAfter w:w="22615" w:type="dxa"/>
          <w:trHeight w:val="629"/>
        </w:trPr>
        <w:tc>
          <w:tcPr>
            <w:tcW w:w="2550" w:type="dxa"/>
            <w:tcBorders>
              <w:top w:val="single" w:sz="4" w:space="0" w:color="auto"/>
              <w:left w:val="single" w:sz="8" w:space="0" w:color="auto"/>
              <w:bottom w:val="single" w:sz="4" w:space="0" w:color="auto"/>
              <w:right w:val="single" w:sz="8" w:space="0" w:color="auto"/>
            </w:tcBorders>
            <w:shd w:val="clear" w:color="auto" w:fill="auto"/>
          </w:tcPr>
          <w:p w:rsidR="00FA05F9" w:rsidRPr="00834C1F" w:rsidRDefault="009B31E1" w:rsidP="00FA05F9">
            <w:pPr>
              <w:rPr>
                <w:rFonts w:cs="Arial"/>
                <w:sz w:val="18"/>
                <w:szCs w:val="18"/>
              </w:rPr>
            </w:pPr>
            <w:r w:rsidRPr="00834C1F">
              <w:rPr>
                <w:rFonts w:cs="Arial"/>
                <w:sz w:val="18"/>
                <w:szCs w:val="18"/>
              </w:rPr>
              <w:t>Safety Carriageway Defects repaired within 2 working days (urgent) target 95%</w:t>
            </w:r>
          </w:p>
        </w:tc>
        <w:tc>
          <w:tcPr>
            <w:tcW w:w="1370"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1328" w:type="dxa"/>
            <w:tcBorders>
              <w:top w:val="single" w:sz="4" w:space="0" w:color="auto"/>
              <w:left w:val="nil"/>
              <w:bottom w:val="single" w:sz="4" w:space="0" w:color="auto"/>
              <w:right w:val="single" w:sz="8" w:space="0" w:color="auto"/>
            </w:tcBorders>
            <w:shd w:val="clear" w:color="auto" w:fill="FF0000"/>
            <w:vAlign w:val="center"/>
          </w:tcPr>
          <w:p w:rsidR="00FA05F9" w:rsidRPr="001368FF" w:rsidRDefault="009B31E1" w:rsidP="00FA05F9">
            <w:pPr>
              <w:jc w:val="center"/>
              <w:rPr>
                <w:rFonts w:cs="Arial"/>
                <w:color w:val="FFFFFF" w:themeColor="background1"/>
                <w:sz w:val="18"/>
                <w:szCs w:val="18"/>
              </w:rPr>
            </w:pPr>
            <w:r w:rsidRPr="001368FF">
              <w:rPr>
                <w:rFonts w:cs="Arial"/>
                <w:color w:val="FFFFFF" w:themeColor="background1"/>
                <w:sz w:val="18"/>
                <w:szCs w:val="18"/>
              </w:rPr>
              <w:t>94.14%</w:t>
            </w:r>
          </w:p>
        </w:tc>
        <w:tc>
          <w:tcPr>
            <w:tcW w:w="992" w:type="dxa"/>
            <w:tcBorders>
              <w:top w:val="single" w:sz="4" w:space="0" w:color="auto"/>
              <w:left w:val="nil"/>
              <w:bottom w:val="single" w:sz="4" w:space="0" w:color="auto"/>
              <w:right w:val="single" w:sz="8" w:space="0" w:color="auto"/>
            </w:tcBorders>
            <w:shd w:val="clear" w:color="auto" w:fill="FF0000"/>
            <w:vAlign w:val="center"/>
          </w:tcPr>
          <w:p w:rsidR="00FA05F9" w:rsidRPr="001368FF" w:rsidRDefault="009B31E1" w:rsidP="00FA05F9">
            <w:pPr>
              <w:jc w:val="center"/>
              <w:rPr>
                <w:rFonts w:cs="Arial"/>
                <w:color w:val="FFFFFF" w:themeColor="background1"/>
                <w:sz w:val="18"/>
                <w:szCs w:val="18"/>
              </w:rPr>
            </w:pPr>
            <w:r w:rsidRPr="001368FF">
              <w:rPr>
                <w:rFonts w:cs="Arial"/>
                <w:color w:val="FFFFFF" w:themeColor="background1"/>
                <w:sz w:val="18"/>
                <w:szCs w:val="18"/>
              </w:rPr>
              <w:t>88.76%</w:t>
            </w:r>
          </w:p>
        </w:tc>
      </w:tr>
      <w:tr w:rsidR="004744FE" w:rsidTr="00FA05F9">
        <w:trPr>
          <w:gridAfter w:val="5"/>
          <w:wAfter w:w="22615" w:type="dxa"/>
          <w:trHeight w:val="696"/>
        </w:trPr>
        <w:tc>
          <w:tcPr>
            <w:tcW w:w="2550" w:type="dxa"/>
            <w:tcBorders>
              <w:top w:val="single" w:sz="4" w:space="0" w:color="auto"/>
              <w:left w:val="single" w:sz="8" w:space="0" w:color="auto"/>
              <w:bottom w:val="single" w:sz="4" w:space="0" w:color="auto"/>
              <w:right w:val="single" w:sz="8" w:space="0" w:color="auto"/>
            </w:tcBorders>
            <w:shd w:val="clear" w:color="auto" w:fill="auto"/>
          </w:tcPr>
          <w:p w:rsidR="00FA05F9" w:rsidRPr="00834C1F" w:rsidRDefault="009B31E1" w:rsidP="00FA05F9">
            <w:pPr>
              <w:rPr>
                <w:rFonts w:cs="Arial"/>
                <w:sz w:val="18"/>
                <w:szCs w:val="18"/>
              </w:rPr>
            </w:pPr>
            <w:r w:rsidRPr="00834C1F">
              <w:rPr>
                <w:rFonts w:cs="Arial"/>
                <w:sz w:val="18"/>
                <w:szCs w:val="18"/>
              </w:rPr>
              <w:t>Safety Carriageway Defects repaired within 5 working days (non-urgent) target 90%</w:t>
            </w:r>
          </w:p>
        </w:tc>
        <w:tc>
          <w:tcPr>
            <w:tcW w:w="1370"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967"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1328" w:type="dxa"/>
            <w:tcBorders>
              <w:top w:val="single" w:sz="4" w:space="0" w:color="auto"/>
              <w:left w:val="nil"/>
              <w:bottom w:val="single" w:sz="4" w:space="0" w:color="auto"/>
              <w:right w:val="single" w:sz="8" w:space="0" w:color="auto"/>
            </w:tcBorders>
            <w:shd w:val="clear" w:color="auto" w:fill="FF0000"/>
            <w:vAlign w:val="center"/>
          </w:tcPr>
          <w:p w:rsidR="00FA05F9" w:rsidRPr="001368FF" w:rsidRDefault="009B31E1" w:rsidP="00FA05F9">
            <w:pPr>
              <w:jc w:val="center"/>
              <w:rPr>
                <w:rFonts w:cs="Arial"/>
                <w:color w:val="FFFFFF" w:themeColor="background1"/>
                <w:sz w:val="18"/>
                <w:szCs w:val="18"/>
              </w:rPr>
            </w:pPr>
            <w:r w:rsidRPr="001368FF">
              <w:rPr>
                <w:rFonts w:cs="Arial"/>
                <w:color w:val="FFFFFF" w:themeColor="background1"/>
                <w:sz w:val="18"/>
                <w:szCs w:val="18"/>
              </w:rPr>
              <w:t>81.47%</w:t>
            </w:r>
          </w:p>
        </w:tc>
        <w:tc>
          <w:tcPr>
            <w:tcW w:w="992" w:type="dxa"/>
            <w:tcBorders>
              <w:top w:val="single" w:sz="4" w:space="0" w:color="auto"/>
              <w:left w:val="nil"/>
              <w:bottom w:val="single" w:sz="4" w:space="0" w:color="auto"/>
              <w:right w:val="single" w:sz="8" w:space="0" w:color="auto"/>
            </w:tcBorders>
            <w:shd w:val="clear" w:color="auto" w:fill="FF0000"/>
            <w:vAlign w:val="center"/>
          </w:tcPr>
          <w:p w:rsidR="00FA05F9" w:rsidRPr="001368FF" w:rsidRDefault="009B31E1" w:rsidP="00FA05F9">
            <w:pPr>
              <w:jc w:val="center"/>
              <w:rPr>
                <w:rFonts w:cs="Arial"/>
                <w:color w:val="FFFFFF" w:themeColor="background1"/>
                <w:sz w:val="18"/>
                <w:szCs w:val="18"/>
              </w:rPr>
            </w:pPr>
            <w:r w:rsidRPr="001368FF">
              <w:rPr>
                <w:rFonts w:cs="Arial"/>
                <w:color w:val="FFFFFF" w:themeColor="background1"/>
                <w:sz w:val="18"/>
                <w:szCs w:val="18"/>
              </w:rPr>
              <w:t>83.18%</w:t>
            </w:r>
          </w:p>
        </w:tc>
      </w:tr>
      <w:tr w:rsidR="004744FE" w:rsidTr="00FA05F9">
        <w:trPr>
          <w:gridAfter w:val="5"/>
          <w:wAfter w:w="22615" w:type="dxa"/>
          <w:trHeight w:val="301"/>
        </w:trPr>
        <w:tc>
          <w:tcPr>
            <w:tcW w:w="2550" w:type="dxa"/>
            <w:tcBorders>
              <w:top w:val="single" w:sz="4" w:space="0" w:color="auto"/>
              <w:left w:val="single" w:sz="8" w:space="0" w:color="auto"/>
              <w:bottom w:val="single" w:sz="8" w:space="0" w:color="auto"/>
              <w:right w:val="single" w:sz="8" w:space="0" w:color="auto"/>
            </w:tcBorders>
            <w:shd w:val="clear" w:color="auto" w:fill="auto"/>
            <w:vAlign w:val="center"/>
          </w:tcPr>
          <w:p w:rsidR="00FA05F9" w:rsidRPr="00834C1F" w:rsidRDefault="009B31E1" w:rsidP="00FA05F9">
            <w:pPr>
              <w:rPr>
                <w:rFonts w:cs="Arial"/>
                <w:sz w:val="18"/>
                <w:szCs w:val="18"/>
              </w:rPr>
            </w:pPr>
            <w:r w:rsidRPr="00834C1F">
              <w:rPr>
                <w:rFonts w:cs="Arial"/>
                <w:sz w:val="18"/>
                <w:szCs w:val="18"/>
              </w:rPr>
              <w:t>Safety Carriageway Defects repaired within 20 working days (non-urgent) target 90%</w:t>
            </w:r>
          </w:p>
        </w:tc>
        <w:tc>
          <w:tcPr>
            <w:tcW w:w="1370" w:type="dxa"/>
            <w:tcBorders>
              <w:top w:val="single" w:sz="4" w:space="0" w:color="auto"/>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single" w:sz="4" w:space="0" w:color="auto"/>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967" w:type="dxa"/>
            <w:tcBorders>
              <w:top w:val="single" w:sz="4" w:space="0" w:color="auto"/>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w:t>
            </w:r>
          </w:p>
        </w:tc>
        <w:tc>
          <w:tcPr>
            <w:tcW w:w="1328"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96.05%</w:t>
            </w:r>
          </w:p>
        </w:tc>
        <w:tc>
          <w:tcPr>
            <w:tcW w:w="992"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98.19%</w:t>
            </w:r>
          </w:p>
        </w:tc>
      </w:tr>
      <w:tr w:rsidR="004744FE" w:rsidTr="00FA05F9">
        <w:trPr>
          <w:gridAfter w:val="5"/>
          <w:wAfter w:w="22615" w:type="dxa"/>
          <w:trHeight w:val="48"/>
        </w:trPr>
        <w:tc>
          <w:tcPr>
            <w:tcW w:w="2550"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9B31E1" w:rsidP="00FA05F9">
            <w:pPr>
              <w:rPr>
                <w:rFonts w:cs="Arial"/>
                <w:sz w:val="18"/>
                <w:szCs w:val="18"/>
              </w:rPr>
            </w:pPr>
            <w:r w:rsidRPr="00834C1F">
              <w:rPr>
                <w:rFonts w:cs="Arial"/>
                <w:b/>
                <w:bCs/>
                <w:sz w:val="18"/>
                <w:szCs w:val="18"/>
              </w:rPr>
              <w:t>Street lighting</w:t>
            </w:r>
          </w:p>
        </w:tc>
        <w:tc>
          <w:tcPr>
            <w:tcW w:w="1370"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rPr>
                <w:rFonts w:cs="Arial"/>
                <w:sz w:val="18"/>
                <w:szCs w:val="18"/>
              </w:rPr>
            </w:pPr>
          </w:p>
        </w:tc>
        <w:tc>
          <w:tcPr>
            <w:tcW w:w="967"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rPr>
                <w:rFonts w:cs="Arial"/>
                <w:sz w:val="18"/>
                <w:szCs w:val="18"/>
              </w:rPr>
            </w:pPr>
          </w:p>
        </w:tc>
        <w:tc>
          <w:tcPr>
            <w:tcW w:w="967"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rPr>
                <w:rFonts w:cs="Arial"/>
                <w:sz w:val="18"/>
                <w:szCs w:val="18"/>
              </w:rPr>
            </w:pPr>
          </w:p>
        </w:tc>
        <w:tc>
          <w:tcPr>
            <w:tcW w:w="1328"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jc w:val="center"/>
              <w:rPr>
                <w:rFonts w:cs="Arial"/>
                <w:sz w:val="18"/>
                <w:szCs w:val="18"/>
              </w:rPr>
            </w:pPr>
          </w:p>
        </w:tc>
        <w:tc>
          <w:tcPr>
            <w:tcW w:w="992"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jc w:val="center"/>
              <w:rPr>
                <w:rFonts w:cs="Arial"/>
                <w:sz w:val="18"/>
                <w:szCs w:val="18"/>
              </w:rPr>
            </w:pPr>
          </w:p>
        </w:tc>
      </w:tr>
      <w:tr w:rsidR="004744FE" w:rsidTr="00FA05F9">
        <w:trPr>
          <w:gridAfter w:val="5"/>
          <w:wAfter w:w="22615" w:type="dxa"/>
          <w:trHeight w:val="301"/>
        </w:trPr>
        <w:tc>
          <w:tcPr>
            <w:tcW w:w="2550" w:type="dxa"/>
            <w:tcBorders>
              <w:top w:val="nil"/>
              <w:left w:val="single" w:sz="8" w:space="0" w:color="auto"/>
              <w:bottom w:val="single" w:sz="4" w:space="0" w:color="auto"/>
              <w:right w:val="single" w:sz="8" w:space="0" w:color="auto"/>
            </w:tcBorders>
            <w:shd w:val="clear" w:color="auto" w:fill="auto"/>
            <w:vAlign w:val="center"/>
          </w:tcPr>
          <w:p w:rsidR="00FA05F9" w:rsidRPr="00834C1F" w:rsidRDefault="009B31E1" w:rsidP="00FA05F9">
            <w:pPr>
              <w:rPr>
                <w:rFonts w:cs="Arial"/>
                <w:sz w:val="18"/>
                <w:szCs w:val="18"/>
              </w:rPr>
            </w:pPr>
            <w:r w:rsidRPr="00834C1F">
              <w:rPr>
                <w:rFonts w:cs="Arial"/>
                <w:sz w:val="18"/>
                <w:szCs w:val="18"/>
              </w:rPr>
              <w:t>Average number of working days to repair a LCC street lighting fault (including traffic management) target 5 days</w:t>
            </w:r>
          </w:p>
        </w:tc>
        <w:tc>
          <w:tcPr>
            <w:tcW w:w="1370" w:type="dxa"/>
            <w:tcBorders>
              <w:top w:val="nil"/>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L</w:t>
            </w:r>
          </w:p>
        </w:tc>
        <w:tc>
          <w:tcPr>
            <w:tcW w:w="967" w:type="dxa"/>
            <w:tcBorders>
              <w:top w:val="nil"/>
              <w:left w:val="nil"/>
              <w:bottom w:val="single" w:sz="4" w:space="0" w:color="auto"/>
              <w:right w:val="single" w:sz="8" w:space="0" w:color="auto"/>
            </w:tcBorders>
            <w:shd w:val="clear" w:color="auto" w:fill="FF0000"/>
            <w:vAlign w:val="center"/>
          </w:tcPr>
          <w:p w:rsidR="00FA05F9" w:rsidRPr="00343D0C" w:rsidRDefault="009B31E1" w:rsidP="00FA05F9">
            <w:pPr>
              <w:jc w:val="center"/>
              <w:rPr>
                <w:rFonts w:cs="Arial"/>
                <w:color w:val="FFFFFF" w:themeColor="background1"/>
                <w:sz w:val="18"/>
                <w:szCs w:val="18"/>
              </w:rPr>
            </w:pPr>
            <w:r w:rsidRPr="00343D0C">
              <w:rPr>
                <w:rFonts w:cs="Arial"/>
                <w:color w:val="FFFFFF" w:themeColor="background1"/>
                <w:sz w:val="18"/>
                <w:szCs w:val="18"/>
              </w:rPr>
              <w:t>7</w:t>
            </w:r>
          </w:p>
        </w:tc>
        <w:tc>
          <w:tcPr>
            <w:tcW w:w="967" w:type="dxa"/>
            <w:tcBorders>
              <w:top w:val="single" w:sz="4" w:space="0" w:color="auto"/>
              <w:left w:val="nil"/>
              <w:bottom w:val="single" w:sz="4" w:space="0" w:color="auto"/>
              <w:right w:val="single" w:sz="8" w:space="0" w:color="auto"/>
            </w:tcBorders>
            <w:shd w:val="clear" w:color="auto" w:fill="FF0000"/>
            <w:vAlign w:val="center"/>
          </w:tcPr>
          <w:p w:rsidR="00FA05F9" w:rsidRPr="00343D0C" w:rsidRDefault="009B31E1" w:rsidP="00FA05F9">
            <w:pPr>
              <w:jc w:val="center"/>
              <w:rPr>
                <w:rFonts w:cs="Arial"/>
                <w:color w:val="FFFFFF" w:themeColor="background1"/>
                <w:sz w:val="18"/>
                <w:szCs w:val="18"/>
              </w:rPr>
            </w:pPr>
            <w:r w:rsidRPr="00343D0C">
              <w:rPr>
                <w:rFonts w:cs="Arial"/>
                <w:color w:val="FFFFFF" w:themeColor="background1"/>
                <w:sz w:val="18"/>
                <w:szCs w:val="18"/>
              </w:rPr>
              <w:t>7.61</w:t>
            </w:r>
          </w:p>
        </w:tc>
        <w:tc>
          <w:tcPr>
            <w:tcW w:w="1328" w:type="dxa"/>
            <w:tcBorders>
              <w:top w:val="nil"/>
              <w:left w:val="nil"/>
              <w:bottom w:val="single" w:sz="4" w:space="0" w:color="auto"/>
              <w:right w:val="single" w:sz="8" w:space="0" w:color="auto"/>
            </w:tcBorders>
            <w:shd w:val="clear" w:color="auto" w:fill="FF0000"/>
            <w:vAlign w:val="center"/>
          </w:tcPr>
          <w:p w:rsidR="00FA05F9" w:rsidRPr="00834C1F" w:rsidRDefault="009B31E1" w:rsidP="00FA05F9">
            <w:pPr>
              <w:jc w:val="center"/>
              <w:rPr>
                <w:rFonts w:cs="Arial"/>
                <w:sz w:val="18"/>
                <w:szCs w:val="18"/>
              </w:rPr>
            </w:pPr>
            <w:r w:rsidRPr="001368FF">
              <w:rPr>
                <w:rFonts w:cs="Arial"/>
                <w:color w:val="FFFFFF" w:themeColor="background1"/>
                <w:sz w:val="18"/>
                <w:szCs w:val="18"/>
              </w:rPr>
              <w:t xml:space="preserve">6.34                       </w:t>
            </w:r>
          </w:p>
        </w:tc>
        <w:tc>
          <w:tcPr>
            <w:tcW w:w="992"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4.79</w:t>
            </w:r>
          </w:p>
        </w:tc>
      </w:tr>
      <w:tr w:rsidR="004744FE" w:rsidTr="00FA05F9">
        <w:trPr>
          <w:trHeight w:val="129"/>
        </w:trPr>
        <w:tc>
          <w:tcPr>
            <w:tcW w:w="255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A05F9" w:rsidRPr="00834C1F" w:rsidRDefault="009B31E1" w:rsidP="00FA05F9">
            <w:r w:rsidRPr="00834C1F">
              <w:rPr>
                <w:rFonts w:cs="Arial"/>
                <w:b/>
                <w:bCs/>
                <w:sz w:val="18"/>
                <w:szCs w:val="18"/>
              </w:rPr>
              <w:t>Waste management</w:t>
            </w:r>
          </w:p>
        </w:tc>
        <w:tc>
          <w:tcPr>
            <w:tcW w:w="1370"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tc>
        <w:tc>
          <w:tcPr>
            <w:tcW w:w="967"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tc>
        <w:tc>
          <w:tcPr>
            <w:tcW w:w="967"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tc>
        <w:tc>
          <w:tcPr>
            <w:tcW w:w="1328"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tc>
        <w:tc>
          <w:tcPr>
            <w:tcW w:w="992"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tc>
        <w:tc>
          <w:tcPr>
            <w:tcW w:w="4763" w:type="dxa"/>
            <w:tcBorders>
              <w:left w:val="single" w:sz="4" w:space="0" w:color="auto"/>
            </w:tcBorders>
          </w:tcPr>
          <w:p w:rsidR="00FA05F9" w:rsidRPr="00834C1F" w:rsidRDefault="00FA05F9" w:rsidP="00FA05F9"/>
        </w:tc>
        <w:tc>
          <w:tcPr>
            <w:tcW w:w="4463" w:type="dxa"/>
          </w:tcPr>
          <w:p w:rsidR="00FA05F9" w:rsidRPr="00834C1F" w:rsidRDefault="00FA05F9" w:rsidP="00FA05F9"/>
        </w:tc>
        <w:tc>
          <w:tcPr>
            <w:tcW w:w="4463" w:type="dxa"/>
          </w:tcPr>
          <w:p w:rsidR="00FA05F9" w:rsidRPr="00834C1F" w:rsidRDefault="00FA05F9" w:rsidP="00FA05F9"/>
        </w:tc>
        <w:tc>
          <w:tcPr>
            <w:tcW w:w="4463" w:type="dxa"/>
          </w:tcPr>
          <w:p w:rsidR="00FA05F9" w:rsidRPr="00834C1F" w:rsidRDefault="00FA05F9" w:rsidP="00FA05F9"/>
        </w:tc>
        <w:tc>
          <w:tcPr>
            <w:tcW w:w="4463" w:type="dxa"/>
            <w:tcBorders>
              <w:top w:val="single" w:sz="8" w:space="0" w:color="auto"/>
              <w:left w:val="single" w:sz="8" w:space="0" w:color="auto"/>
              <w:bottom w:val="single" w:sz="8" w:space="0" w:color="auto"/>
              <w:right w:val="single" w:sz="8" w:space="0" w:color="000000"/>
            </w:tcBorders>
            <w:shd w:val="clear" w:color="000000" w:fill="D9D9D9"/>
            <w:vAlign w:val="center"/>
          </w:tcPr>
          <w:p w:rsidR="00FA05F9" w:rsidRPr="00834C1F" w:rsidRDefault="009B31E1" w:rsidP="00FA05F9">
            <w:r w:rsidRPr="00834C1F">
              <w:rPr>
                <w:rFonts w:cs="Arial"/>
                <w:b/>
                <w:bCs/>
                <w:sz w:val="18"/>
                <w:szCs w:val="18"/>
              </w:rPr>
              <w:t>Waste management</w:t>
            </w:r>
          </w:p>
        </w:tc>
      </w:tr>
      <w:tr w:rsidR="004744FE" w:rsidTr="00FA05F9">
        <w:trPr>
          <w:gridAfter w:val="5"/>
          <w:wAfter w:w="22615" w:type="dxa"/>
          <w:trHeight w:val="249"/>
        </w:trPr>
        <w:tc>
          <w:tcPr>
            <w:tcW w:w="2550" w:type="dxa"/>
            <w:tcBorders>
              <w:top w:val="nil"/>
              <w:left w:val="single" w:sz="8" w:space="0" w:color="auto"/>
              <w:bottom w:val="single" w:sz="4" w:space="0" w:color="auto"/>
              <w:right w:val="single" w:sz="8" w:space="0" w:color="auto"/>
            </w:tcBorders>
            <w:shd w:val="clear" w:color="auto" w:fill="auto"/>
            <w:vAlign w:val="center"/>
            <w:hideMark/>
          </w:tcPr>
          <w:p w:rsidR="00FA05F9" w:rsidRPr="00834C1F" w:rsidRDefault="009B31E1" w:rsidP="00FA05F9">
            <w:pPr>
              <w:rPr>
                <w:rFonts w:cs="Arial"/>
                <w:sz w:val="18"/>
                <w:szCs w:val="18"/>
              </w:rPr>
            </w:pPr>
            <w:r w:rsidRPr="00834C1F">
              <w:rPr>
                <w:rFonts w:cs="Arial"/>
                <w:sz w:val="18"/>
                <w:szCs w:val="18"/>
              </w:rPr>
              <w:t>% of recycling, re-use and composting</w:t>
            </w:r>
          </w:p>
        </w:tc>
        <w:tc>
          <w:tcPr>
            <w:tcW w:w="1370" w:type="dxa"/>
            <w:tcBorders>
              <w:top w:val="nil"/>
              <w:left w:val="nil"/>
              <w:bottom w:val="single" w:sz="4" w:space="0" w:color="auto"/>
              <w:right w:val="single" w:sz="8" w:space="0" w:color="auto"/>
            </w:tcBorders>
            <w:shd w:val="clear" w:color="auto" w:fill="auto"/>
            <w:vAlign w:val="center"/>
            <w:hideMark/>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nil"/>
              <w:left w:val="nil"/>
              <w:bottom w:val="single" w:sz="4" w:space="0" w:color="auto"/>
              <w:right w:val="single" w:sz="8" w:space="0" w:color="auto"/>
            </w:tcBorders>
            <w:shd w:val="clear" w:color="auto" w:fill="F7CAAC" w:themeFill="accent2" w:themeFillTint="66"/>
            <w:vAlign w:val="center"/>
          </w:tcPr>
          <w:p w:rsidR="00FA05F9" w:rsidRPr="00834C1F" w:rsidRDefault="009B31E1" w:rsidP="00FA05F9">
            <w:pPr>
              <w:jc w:val="center"/>
              <w:rPr>
                <w:rFonts w:cs="Arial"/>
                <w:sz w:val="18"/>
                <w:szCs w:val="18"/>
              </w:rPr>
            </w:pPr>
            <w:r w:rsidRPr="00834C1F">
              <w:rPr>
                <w:rFonts w:cs="Arial"/>
                <w:sz w:val="18"/>
                <w:szCs w:val="18"/>
              </w:rPr>
              <w:t xml:space="preserve">42% </w:t>
            </w:r>
          </w:p>
        </w:tc>
        <w:tc>
          <w:tcPr>
            <w:tcW w:w="967" w:type="dxa"/>
            <w:tcBorders>
              <w:top w:val="nil"/>
              <w:left w:val="nil"/>
              <w:bottom w:val="single" w:sz="4" w:space="0" w:color="auto"/>
              <w:right w:val="single" w:sz="8" w:space="0" w:color="auto"/>
            </w:tcBorders>
            <w:shd w:val="clear" w:color="auto" w:fill="F7CAAC" w:themeFill="accent2" w:themeFillTint="66"/>
            <w:vAlign w:val="center"/>
            <w:hideMark/>
          </w:tcPr>
          <w:p w:rsidR="00FA05F9" w:rsidRPr="00834C1F" w:rsidRDefault="009B31E1" w:rsidP="00FA05F9">
            <w:pPr>
              <w:jc w:val="center"/>
              <w:rPr>
                <w:rFonts w:cs="Arial"/>
                <w:sz w:val="18"/>
                <w:szCs w:val="18"/>
              </w:rPr>
            </w:pPr>
            <w:r w:rsidRPr="00834C1F">
              <w:rPr>
                <w:rFonts w:cs="Arial"/>
                <w:sz w:val="18"/>
                <w:szCs w:val="18"/>
              </w:rPr>
              <w:t xml:space="preserve">43% </w:t>
            </w:r>
          </w:p>
        </w:tc>
        <w:tc>
          <w:tcPr>
            <w:tcW w:w="1328" w:type="dxa"/>
            <w:tcBorders>
              <w:top w:val="nil"/>
              <w:left w:val="nil"/>
              <w:bottom w:val="single" w:sz="4" w:space="0" w:color="auto"/>
              <w:right w:val="single" w:sz="8" w:space="0" w:color="auto"/>
            </w:tcBorders>
            <w:shd w:val="clear" w:color="000000" w:fill="F8CBAD"/>
            <w:vAlign w:val="center"/>
          </w:tcPr>
          <w:p w:rsidR="00FA05F9" w:rsidRPr="00834C1F" w:rsidRDefault="009B31E1" w:rsidP="00FA05F9">
            <w:pPr>
              <w:jc w:val="center"/>
              <w:rPr>
                <w:rFonts w:cs="Arial"/>
                <w:sz w:val="18"/>
                <w:szCs w:val="18"/>
              </w:rPr>
            </w:pPr>
            <w:r w:rsidRPr="00834C1F">
              <w:rPr>
                <w:rFonts w:cs="Arial"/>
                <w:sz w:val="18"/>
                <w:szCs w:val="18"/>
              </w:rPr>
              <w:t xml:space="preserve">43%                       </w:t>
            </w:r>
            <w:r w:rsidRPr="00834C1F">
              <w:rPr>
                <w:sz w:val="18"/>
                <w:szCs w:val="18"/>
              </w:rPr>
              <w:t>(2018/19 provisional)*</w:t>
            </w:r>
          </w:p>
        </w:tc>
        <w:tc>
          <w:tcPr>
            <w:tcW w:w="992" w:type="dxa"/>
            <w:tcBorders>
              <w:top w:val="nil"/>
              <w:left w:val="nil"/>
              <w:bottom w:val="single" w:sz="4" w:space="0" w:color="auto"/>
              <w:right w:val="single" w:sz="8" w:space="0" w:color="auto"/>
            </w:tcBorders>
            <w:shd w:val="clear" w:color="auto" w:fill="F7CAAC" w:themeFill="accent2" w:themeFillTint="66"/>
            <w:vAlign w:val="center"/>
          </w:tcPr>
          <w:p w:rsidR="00FA05F9" w:rsidRPr="00834C1F" w:rsidRDefault="009B31E1" w:rsidP="00FA05F9">
            <w:pPr>
              <w:jc w:val="center"/>
              <w:rPr>
                <w:rFonts w:cs="Arial"/>
                <w:sz w:val="18"/>
                <w:szCs w:val="18"/>
              </w:rPr>
            </w:pPr>
            <w:r w:rsidRPr="00834C1F">
              <w:rPr>
                <w:rFonts w:cs="Arial"/>
                <w:sz w:val="18"/>
                <w:szCs w:val="18"/>
              </w:rPr>
              <w:t>43%</w:t>
            </w:r>
          </w:p>
        </w:tc>
      </w:tr>
      <w:tr w:rsidR="004744FE" w:rsidTr="00FA05F9">
        <w:trPr>
          <w:gridAfter w:val="5"/>
          <w:wAfter w:w="22615" w:type="dxa"/>
          <w:trHeight w:val="125"/>
        </w:trPr>
        <w:tc>
          <w:tcPr>
            <w:tcW w:w="2550" w:type="dxa"/>
            <w:tcBorders>
              <w:top w:val="single" w:sz="4" w:space="0" w:color="auto"/>
              <w:left w:val="single" w:sz="8" w:space="0" w:color="auto"/>
              <w:bottom w:val="nil"/>
              <w:right w:val="single" w:sz="8" w:space="0" w:color="auto"/>
            </w:tcBorders>
            <w:shd w:val="clear" w:color="auto" w:fill="auto"/>
            <w:vAlign w:val="center"/>
            <w:hideMark/>
          </w:tcPr>
          <w:p w:rsidR="00FA05F9" w:rsidRPr="00834C1F" w:rsidRDefault="009B31E1" w:rsidP="00FA05F9">
            <w:pPr>
              <w:rPr>
                <w:rFonts w:cs="Arial"/>
                <w:sz w:val="18"/>
                <w:szCs w:val="18"/>
              </w:rPr>
            </w:pPr>
            <w:r w:rsidRPr="00834C1F">
              <w:rPr>
                <w:rFonts w:cs="Arial"/>
                <w:sz w:val="18"/>
                <w:szCs w:val="18"/>
              </w:rPr>
              <w:t>% diversion of municipal waste away from landfill (including recovery)</w:t>
            </w:r>
          </w:p>
        </w:tc>
        <w:tc>
          <w:tcPr>
            <w:tcW w:w="1370" w:type="dxa"/>
            <w:tcBorders>
              <w:top w:val="single" w:sz="4" w:space="0" w:color="auto"/>
              <w:left w:val="nil"/>
              <w:bottom w:val="nil"/>
              <w:right w:val="single" w:sz="8" w:space="0" w:color="auto"/>
            </w:tcBorders>
            <w:shd w:val="clear" w:color="auto" w:fill="auto"/>
            <w:vAlign w:val="center"/>
            <w:hideMark/>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single" w:sz="4" w:space="0" w:color="auto"/>
              <w:left w:val="nil"/>
              <w:bottom w:val="single" w:sz="8" w:space="0" w:color="auto"/>
              <w:right w:val="single" w:sz="8" w:space="0" w:color="auto"/>
            </w:tcBorders>
            <w:shd w:val="clear" w:color="auto" w:fill="F7CAAC" w:themeFill="accent2" w:themeFillTint="66"/>
            <w:vAlign w:val="center"/>
          </w:tcPr>
          <w:p w:rsidR="00FA05F9" w:rsidRPr="00834C1F" w:rsidRDefault="009B31E1" w:rsidP="00FA05F9">
            <w:pPr>
              <w:jc w:val="center"/>
              <w:rPr>
                <w:rFonts w:cs="Arial"/>
                <w:sz w:val="18"/>
                <w:szCs w:val="18"/>
              </w:rPr>
            </w:pPr>
            <w:r w:rsidRPr="00834C1F">
              <w:rPr>
                <w:rFonts w:cs="Arial"/>
                <w:sz w:val="18"/>
                <w:szCs w:val="18"/>
              </w:rPr>
              <w:t xml:space="preserve">51% </w:t>
            </w:r>
          </w:p>
        </w:tc>
        <w:tc>
          <w:tcPr>
            <w:tcW w:w="967"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834C1F" w:rsidRDefault="009B31E1" w:rsidP="00FA05F9">
            <w:pPr>
              <w:jc w:val="center"/>
              <w:rPr>
                <w:rFonts w:cs="Arial"/>
                <w:sz w:val="18"/>
                <w:szCs w:val="18"/>
              </w:rPr>
            </w:pPr>
            <w:r w:rsidRPr="00834C1F">
              <w:rPr>
                <w:rFonts w:cs="Arial"/>
                <w:sz w:val="18"/>
                <w:szCs w:val="18"/>
              </w:rPr>
              <w:t xml:space="preserve">55% </w:t>
            </w:r>
          </w:p>
        </w:tc>
        <w:tc>
          <w:tcPr>
            <w:tcW w:w="1328" w:type="dxa"/>
            <w:tcBorders>
              <w:top w:val="single" w:sz="4" w:space="0" w:color="auto"/>
              <w:left w:val="nil"/>
              <w:bottom w:val="single" w:sz="8" w:space="0" w:color="auto"/>
              <w:right w:val="single" w:sz="8" w:space="0" w:color="auto"/>
            </w:tcBorders>
            <w:shd w:val="clear" w:color="000000" w:fill="C6E0B4"/>
            <w:vAlign w:val="center"/>
          </w:tcPr>
          <w:p w:rsidR="00FA05F9" w:rsidRPr="00834C1F" w:rsidRDefault="009B31E1" w:rsidP="00FA05F9">
            <w:pPr>
              <w:jc w:val="center"/>
              <w:rPr>
                <w:rFonts w:cs="Arial"/>
                <w:sz w:val="18"/>
                <w:szCs w:val="18"/>
              </w:rPr>
            </w:pPr>
            <w:r w:rsidRPr="00834C1F">
              <w:rPr>
                <w:rFonts w:cs="Arial"/>
                <w:sz w:val="18"/>
                <w:szCs w:val="18"/>
              </w:rPr>
              <w:t xml:space="preserve">61%                           </w:t>
            </w:r>
            <w:r w:rsidRPr="00834C1F">
              <w:rPr>
                <w:sz w:val="18"/>
                <w:szCs w:val="18"/>
              </w:rPr>
              <w:t>(2018/19 provisional)*</w:t>
            </w:r>
          </w:p>
        </w:tc>
        <w:tc>
          <w:tcPr>
            <w:tcW w:w="992"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34C1F" w:rsidRDefault="009B31E1" w:rsidP="00FA05F9">
            <w:pPr>
              <w:jc w:val="center"/>
              <w:rPr>
                <w:rFonts w:cs="Arial"/>
                <w:sz w:val="18"/>
                <w:szCs w:val="18"/>
              </w:rPr>
            </w:pPr>
            <w:r w:rsidRPr="00834C1F">
              <w:rPr>
                <w:rFonts w:cs="Arial"/>
                <w:sz w:val="18"/>
                <w:szCs w:val="18"/>
              </w:rPr>
              <w:t>66%</w:t>
            </w:r>
          </w:p>
        </w:tc>
      </w:tr>
      <w:tr w:rsidR="004744FE" w:rsidTr="00FA05F9">
        <w:trPr>
          <w:gridAfter w:val="5"/>
          <w:wAfter w:w="22615" w:type="dxa"/>
          <w:trHeight w:val="48"/>
        </w:trPr>
        <w:tc>
          <w:tcPr>
            <w:tcW w:w="255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A05F9" w:rsidRPr="00834C1F" w:rsidRDefault="009B31E1" w:rsidP="00FA05F9">
            <w:pPr>
              <w:rPr>
                <w:rFonts w:cs="Arial"/>
                <w:b/>
                <w:bCs/>
                <w:sz w:val="18"/>
                <w:szCs w:val="18"/>
              </w:rPr>
            </w:pPr>
            <w:r w:rsidRPr="00834C1F">
              <w:rPr>
                <w:rFonts w:cs="Arial"/>
                <w:b/>
                <w:bCs/>
                <w:sz w:val="18"/>
                <w:szCs w:val="18"/>
              </w:rPr>
              <w:t>Planning applications</w:t>
            </w:r>
          </w:p>
        </w:tc>
        <w:tc>
          <w:tcPr>
            <w:tcW w:w="1370" w:type="dxa"/>
            <w:tcBorders>
              <w:top w:val="single" w:sz="8" w:space="0" w:color="auto"/>
              <w:left w:val="single" w:sz="8" w:space="0" w:color="auto"/>
              <w:bottom w:val="single" w:sz="8" w:space="0" w:color="auto"/>
              <w:right w:val="single" w:sz="8" w:space="0" w:color="000000"/>
            </w:tcBorders>
            <w:shd w:val="clear" w:color="000000" w:fill="D9D9D9"/>
            <w:vAlign w:val="center"/>
          </w:tcPr>
          <w:p w:rsidR="00FA05F9" w:rsidRPr="00834C1F" w:rsidRDefault="00FA05F9" w:rsidP="00FA05F9">
            <w:pPr>
              <w:rPr>
                <w:rFonts w:cs="Arial"/>
                <w:b/>
                <w:bCs/>
                <w:sz w:val="18"/>
                <w:szCs w:val="18"/>
              </w:rPr>
            </w:pPr>
          </w:p>
        </w:tc>
        <w:tc>
          <w:tcPr>
            <w:tcW w:w="967" w:type="dxa"/>
            <w:tcBorders>
              <w:top w:val="single" w:sz="8" w:space="0" w:color="auto"/>
              <w:left w:val="single" w:sz="8" w:space="0" w:color="auto"/>
              <w:bottom w:val="single" w:sz="8" w:space="0" w:color="auto"/>
              <w:right w:val="single" w:sz="8" w:space="0" w:color="000000"/>
            </w:tcBorders>
            <w:shd w:val="clear" w:color="000000" w:fill="D9D9D9"/>
            <w:vAlign w:val="center"/>
          </w:tcPr>
          <w:p w:rsidR="00FA05F9" w:rsidRPr="00834C1F" w:rsidRDefault="00FA05F9" w:rsidP="00FA05F9">
            <w:pPr>
              <w:rPr>
                <w:rFonts w:cs="Arial"/>
                <w:b/>
                <w:bCs/>
                <w:sz w:val="18"/>
                <w:szCs w:val="18"/>
              </w:rPr>
            </w:pPr>
          </w:p>
        </w:tc>
        <w:tc>
          <w:tcPr>
            <w:tcW w:w="967" w:type="dxa"/>
            <w:tcBorders>
              <w:top w:val="single" w:sz="8" w:space="0" w:color="auto"/>
              <w:left w:val="single" w:sz="8" w:space="0" w:color="auto"/>
              <w:bottom w:val="single" w:sz="8" w:space="0" w:color="auto"/>
              <w:right w:val="single" w:sz="8" w:space="0" w:color="000000"/>
            </w:tcBorders>
            <w:shd w:val="clear" w:color="000000" w:fill="D9D9D9"/>
            <w:vAlign w:val="center"/>
          </w:tcPr>
          <w:p w:rsidR="00FA05F9" w:rsidRPr="00834C1F" w:rsidRDefault="00FA05F9" w:rsidP="00FA05F9">
            <w:pPr>
              <w:rPr>
                <w:rFonts w:cs="Arial"/>
                <w:b/>
                <w:bCs/>
                <w:sz w:val="18"/>
                <w:szCs w:val="18"/>
              </w:rPr>
            </w:pPr>
          </w:p>
        </w:tc>
        <w:tc>
          <w:tcPr>
            <w:tcW w:w="1328"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rPr>
                <w:rFonts w:cs="Arial"/>
                <w:b/>
                <w:bCs/>
                <w:sz w:val="18"/>
                <w:szCs w:val="18"/>
              </w:rPr>
            </w:pPr>
          </w:p>
        </w:tc>
        <w:tc>
          <w:tcPr>
            <w:tcW w:w="992" w:type="dxa"/>
            <w:tcBorders>
              <w:top w:val="single" w:sz="8" w:space="0" w:color="auto"/>
              <w:left w:val="single" w:sz="8" w:space="0" w:color="auto"/>
              <w:bottom w:val="single" w:sz="8" w:space="0" w:color="auto"/>
              <w:right w:val="single" w:sz="4" w:space="0" w:color="auto"/>
            </w:tcBorders>
            <w:shd w:val="clear" w:color="000000" w:fill="D9D9D9"/>
            <w:vAlign w:val="center"/>
          </w:tcPr>
          <w:p w:rsidR="00FA05F9" w:rsidRPr="00834C1F" w:rsidRDefault="00FA05F9" w:rsidP="00FA05F9">
            <w:pPr>
              <w:rPr>
                <w:rFonts w:cs="Arial"/>
                <w:b/>
                <w:bCs/>
                <w:sz w:val="18"/>
                <w:szCs w:val="18"/>
              </w:rPr>
            </w:pPr>
          </w:p>
        </w:tc>
      </w:tr>
      <w:tr w:rsidR="004744FE" w:rsidTr="00FA05F9">
        <w:trPr>
          <w:gridAfter w:val="5"/>
          <w:wAfter w:w="22615" w:type="dxa"/>
          <w:trHeight w:val="60"/>
        </w:trPr>
        <w:tc>
          <w:tcPr>
            <w:tcW w:w="2550" w:type="dxa"/>
            <w:tcBorders>
              <w:top w:val="nil"/>
              <w:left w:val="single" w:sz="8" w:space="0" w:color="auto"/>
              <w:bottom w:val="nil"/>
              <w:right w:val="single" w:sz="8" w:space="0" w:color="auto"/>
            </w:tcBorders>
            <w:shd w:val="clear" w:color="auto" w:fill="auto"/>
            <w:vAlign w:val="center"/>
            <w:hideMark/>
          </w:tcPr>
          <w:p w:rsidR="00FA05F9" w:rsidRPr="00834C1F" w:rsidRDefault="009B31E1" w:rsidP="00FA05F9">
            <w:pPr>
              <w:rPr>
                <w:rFonts w:cs="Arial"/>
                <w:sz w:val="18"/>
                <w:szCs w:val="18"/>
              </w:rPr>
            </w:pPr>
            <w:r w:rsidRPr="00834C1F">
              <w:rPr>
                <w:rFonts w:cs="Arial"/>
                <w:sz w:val="18"/>
                <w:szCs w:val="18"/>
              </w:rPr>
              <w:t>% of minerals and waste planning applications determined within 13 weeks</w:t>
            </w:r>
            <w:r>
              <w:rPr>
                <w:rFonts w:cs="Arial"/>
                <w:sz w:val="18"/>
                <w:szCs w:val="18"/>
              </w:rPr>
              <w:t>**</w:t>
            </w:r>
          </w:p>
        </w:tc>
        <w:tc>
          <w:tcPr>
            <w:tcW w:w="1370" w:type="dxa"/>
            <w:tcBorders>
              <w:top w:val="single" w:sz="4" w:space="0" w:color="auto"/>
              <w:left w:val="nil"/>
              <w:bottom w:val="single" w:sz="4" w:space="0" w:color="auto"/>
              <w:right w:val="single" w:sz="8" w:space="0" w:color="auto"/>
            </w:tcBorders>
            <w:vAlign w:val="center"/>
            <w:hideMark/>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nil"/>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67%</w:t>
            </w:r>
          </w:p>
        </w:tc>
        <w:tc>
          <w:tcPr>
            <w:tcW w:w="967" w:type="dxa"/>
            <w:tcBorders>
              <w:top w:val="nil"/>
              <w:left w:val="nil"/>
              <w:bottom w:val="single" w:sz="8" w:space="0" w:color="auto"/>
              <w:right w:val="single" w:sz="8" w:space="0" w:color="auto"/>
            </w:tcBorders>
            <w:shd w:val="clear" w:color="auto" w:fill="auto"/>
            <w:vAlign w:val="center"/>
            <w:hideMark/>
          </w:tcPr>
          <w:p w:rsidR="00FA05F9" w:rsidRPr="00834C1F" w:rsidRDefault="009B31E1" w:rsidP="00FA05F9">
            <w:pPr>
              <w:jc w:val="center"/>
              <w:rPr>
                <w:rFonts w:cs="Arial"/>
                <w:sz w:val="18"/>
                <w:szCs w:val="18"/>
              </w:rPr>
            </w:pPr>
            <w:r w:rsidRPr="00834C1F">
              <w:rPr>
                <w:rFonts w:cs="Arial"/>
                <w:sz w:val="18"/>
                <w:szCs w:val="18"/>
              </w:rPr>
              <w:t>50%</w:t>
            </w:r>
          </w:p>
        </w:tc>
        <w:tc>
          <w:tcPr>
            <w:tcW w:w="1328" w:type="dxa"/>
            <w:tcBorders>
              <w:top w:val="single" w:sz="4" w:space="0" w:color="auto"/>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 xml:space="preserve">80%                    </w:t>
            </w:r>
            <w:r w:rsidRPr="00834C1F">
              <w:rPr>
                <w:sz w:val="18"/>
                <w:szCs w:val="18"/>
              </w:rPr>
              <w:t>(Q4 18/19)</w:t>
            </w:r>
          </w:p>
        </w:tc>
        <w:tc>
          <w:tcPr>
            <w:tcW w:w="992" w:type="dxa"/>
            <w:tcBorders>
              <w:top w:val="nil"/>
              <w:left w:val="nil"/>
              <w:bottom w:val="single" w:sz="8"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40%</w:t>
            </w:r>
          </w:p>
        </w:tc>
      </w:tr>
      <w:tr w:rsidR="004744FE" w:rsidTr="00FA05F9">
        <w:trPr>
          <w:gridAfter w:val="5"/>
          <w:wAfter w:w="22615" w:type="dxa"/>
          <w:trHeight w:val="177"/>
        </w:trPr>
        <w:tc>
          <w:tcPr>
            <w:tcW w:w="25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A05F9" w:rsidRPr="00834C1F" w:rsidRDefault="009B31E1" w:rsidP="00FA05F9">
            <w:pPr>
              <w:rPr>
                <w:rFonts w:cs="Arial"/>
                <w:sz w:val="18"/>
                <w:szCs w:val="18"/>
              </w:rPr>
            </w:pPr>
            <w:r w:rsidRPr="00834C1F">
              <w:rPr>
                <w:rFonts w:cs="Arial"/>
                <w:sz w:val="18"/>
                <w:szCs w:val="18"/>
              </w:rPr>
              <w:t>% of Regulation 3 planning applications determined within 8 weeks</w:t>
            </w:r>
            <w:r>
              <w:rPr>
                <w:rFonts w:cs="Arial"/>
                <w:sz w:val="18"/>
                <w:szCs w:val="18"/>
              </w:rPr>
              <w:t>**</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rsidR="00FA05F9" w:rsidRPr="00834C1F" w:rsidRDefault="009B31E1" w:rsidP="00FA05F9">
            <w:pPr>
              <w:jc w:val="center"/>
              <w:rPr>
                <w:rFonts w:cs="Arial"/>
                <w:sz w:val="18"/>
                <w:szCs w:val="18"/>
              </w:rPr>
            </w:pPr>
            <w:r w:rsidRPr="00834C1F">
              <w:rPr>
                <w:rFonts w:cs="Arial"/>
                <w:sz w:val="18"/>
                <w:szCs w:val="18"/>
              </w:rPr>
              <w:t>H</w:t>
            </w:r>
          </w:p>
        </w:tc>
        <w:tc>
          <w:tcPr>
            <w:tcW w:w="967" w:type="dxa"/>
            <w:tcBorders>
              <w:top w:val="nil"/>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78%</w:t>
            </w:r>
          </w:p>
        </w:tc>
        <w:tc>
          <w:tcPr>
            <w:tcW w:w="967" w:type="dxa"/>
            <w:tcBorders>
              <w:top w:val="nil"/>
              <w:left w:val="nil"/>
              <w:bottom w:val="single" w:sz="4" w:space="0" w:color="auto"/>
              <w:right w:val="single" w:sz="8" w:space="0" w:color="auto"/>
            </w:tcBorders>
            <w:shd w:val="clear" w:color="auto" w:fill="auto"/>
            <w:vAlign w:val="center"/>
            <w:hideMark/>
          </w:tcPr>
          <w:p w:rsidR="00FA05F9" w:rsidRPr="00834C1F" w:rsidRDefault="009B31E1" w:rsidP="00FA05F9">
            <w:pPr>
              <w:jc w:val="center"/>
              <w:rPr>
                <w:rFonts w:cs="Arial"/>
                <w:sz w:val="18"/>
                <w:szCs w:val="18"/>
              </w:rPr>
            </w:pPr>
            <w:r w:rsidRPr="00834C1F">
              <w:rPr>
                <w:rFonts w:cs="Arial"/>
                <w:sz w:val="18"/>
                <w:szCs w:val="18"/>
              </w:rPr>
              <w:t>60%</w:t>
            </w:r>
          </w:p>
        </w:tc>
        <w:tc>
          <w:tcPr>
            <w:tcW w:w="1328" w:type="dxa"/>
            <w:tcBorders>
              <w:top w:val="single" w:sz="4" w:space="0" w:color="auto"/>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 xml:space="preserve">37.5%                    </w:t>
            </w:r>
            <w:r w:rsidRPr="00834C1F">
              <w:rPr>
                <w:sz w:val="18"/>
                <w:szCs w:val="18"/>
              </w:rPr>
              <w:t>(Q4 18/19)</w:t>
            </w:r>
          </w:p>
        </w:tc>
        <w:tc>
          <w:tcPr>
            <w:tcW w:w="992" w:type="dxa"/>
            <w:tcBorders>
              <w:top w:val="nil"/>
              <w:left w:val="nil"/>
              <w:bottom w:val="single" w:sz="4" w:space="0" w:color="auto"/>
              <w:right w:val="single" w:sz="8" w:space="0" w:color="auto"/>
            </w:tcBorders>
            <w:shd w:val="clear" w:color="auto" w:fill="auto"/>
            <w:vAlign w:val="center"/>
          </w:tcPr>
          <w:p w:rsidR="00FA05F9" w:rsidRPr="00834C1F" w:rsidRDefault="009B31E1" w:rsidP="00FA05F9">
            <w:pPr>
              <w:jc w:val="center"/>
              <w:rPr>
                <w:rFonts w:cs="Arial"/>
                <w:sz w:val="18"/>
                <w:szCs w:val="18"/>
              </w:rPr>
            </w:pPr>
            <w:r w:rsidRPr="00834C1F">
              <w:rPr>
                <w:rFonts w:cs="Arial"/>
                <w:sz w:val="18"/>
                <w:szCs w:val="18"/>
              </w:rPr>
              <w:t>56%</w:t>
            </w:r>
          </w:p>
        </w:tc>
      </w:tr>
    </w:tbl>
    <w:p w:rsidR="00FA05F9" w:rsidRPr="00834C1F" w:rsidRDefault="00FA05F9" w:rsidP="00FA05F9">
      <w:pPr>
        <w:rPr>
          <w:rFonts w:cs="Arial"/>
          <w:sz w:val="22"/>
          <w:szCs w:val="22"/>
        </w:rPr>
      </w:pPr>
    </w:p>
    <w:p w:rsidR="00FA05F9" w:rsidRDefault="009B31E1" w:rsidP="00FA05F9">
      <w:pPr>
        <w:rPr>
          <w:rFonts w:cs="Arial"/>
          <w:sz w:val="22"/>
          <w:szCs w:val="22"/>
        </w:rPr>
      </w:pPr>
      <w:r w:rsidRPr="00834C1F">
        <w:rPr>
          <w:rFonts w:cs="Arial"/>
          <w:sz w:val="22"/>
          <w:szCs w:val="22"/>
        </w:rPr>
        <w:t>* Provisional figure to be approved by Defra in November 2019</w:t>
      </w:r>
      <w:r>
        <w:rPr>
          <w:rFonts w:cs="Arial"/>
          <w:sz w:val="22"/>
          <w:szCs w:val="22"/>
        </w:rPr>
        <w:t>.</w:t>
      </w:r>
    </w:p>
    <w:p w:rsidR="00FA05F9" w:rsidRPr="00834C1F" w:rsidRDefault="009B31E1" w:rsidP="00FA05F9">
      <w:pPr>
        <w:rPr>
          <w:rFonts w:cs="Arial"/>
          <w:sz w:val="22"/>
          <w:szCs w:val="22"/>
        </w:rPr>
      </w:pPr>
      <w:r>
        <w:rPr>
          <w:rFonts w:cs="Arial"/>
          <w:sz w:val="22"/>
          <w:szCs w:val="22"/>
        </w:rPr>
        <w:t>** In relation to no RAG ratings please see commentary for "Planning".</w:t>
      </w:r>
    </w:p>
    <w:p w:rsidR="00FA05F9" w:rsidRPr="00834C1F" w:rsidRDefault="00FA05F9" w:rsidP="00FA05F9">
      <w:pPr>
        <w:rPr>
          <w:i/>
          <w:szCs w:val="24"/>
        </w:rPr>
      </w:pPr>
    </w:p>
    <w:p w:rsidR="00FA05F9" w:rsidRDefault="009B31E1" w:rsidP="009A60AA">
      <w:pPr>
        <w:jc w:val="both"/>
        <w:rPr>
          <w:rFonts w:cs="Arial"/>
          <w:i/>
        </w:rPr>
      </w:pPr>
      <w:r w:rsidRPr="00834C1F">
        <w:rPr>
          <w:rFonts w:cs="Arial"/>
          <w:i/>
        </w:rPr>
        <w:t>Highway defects</w:t>
      </w:r>
    </w:p>
    <w:p w:rsidR="009A60AA" w:rsidRPr="00834C1F" w:rsidRDefault="009A60AA" w:rsidP="009A60AA">
      <w:pPr>
        <w:jc w:val="both"/>
        <w:rPr>
          <w:rFonts w:cs="Arial"/>
          <w:i/>
        </w:rPr>
      </w:pPr>
    </w:p>
    <w:p w:rsidR="00FA05F9" w:rsidRPr="00834C1F" w:rsidRDefault="009B31E1" w:rsidP="009A60AA">
      <w:pPr>
        <w:jc w:val="both"/>
      </w:pPr>
      <w:r w:rsidRPr="00834C1F">
        <w:t xml:space="preserve">The approved highways defect repair policy was implemented during quarter 2 </w:t>
      </w:r>
      <w:r w:rsidR="009A60AA">
        <w:t xml:space="preserve">of </w:t>
      </w:r>
      <w:r w:rsidRPr="00834C1F">
        <w:t>2018/19, meaning that reporting changed in accordance with that policy.</w:t>
      </w:r>
    </w:p>
    <w:p w:rsidR="00FA05F9" w:rsidRPr="00834C1F" w:rsidRDefault="00FA05F9" w:rsidP="009A60AA">
      <w:pPr>
        <w:jc w:val="both"/>
      </w:pPr>
    </w:p>
    <w:p w:rsidR="00FA05F9" w:rsidRPr="00834C1F" w:rsidRDefault="009B31E1" w:rsidP="009A60AA">
      <w:pPr>
        <w:jc w:val="both"/>
        <w:rPr>
          <w:rFonts w:cs="Arial"/>
          <w:szCs w:val="24"/>
        </w:rPr>
      </w:pPr>
      <w:r w:rsidRPr="00834C1F">
        <w:rPr>
          <w:rFonts w:cs="Arial"/>
          <w:szCs w:val="24"/>
        </w:rPr>
        <w:lastRenderedPageBreak/>
        <w:t>Improve</w:t>
      </w:r>
      <w:r>
        <w:rPr>
          <w:rFonts w:cs="Arial"/>
          <w:szCs w:val="24"/>
        </w:rPr>
        <w:t>ments to traffic management</w:t>
      </w:r>
      <w:r w:rsidRPr="00834C1F">
        <w:rPr>
          <w:rFonts w:cs="Arial"/>
          <w:szCs w:val="24"/>
        </w:rPr>
        <w:t xml:space="preserve"> supply are being made which will lead to an improvement in urgent response categories. In addition, an exercise is being carried out within </w:t>
      </w:r>
      <w:r>
        <w:rPr>
          <w:rFonts w:cs="Arial"/>
          <w:szCs w:val="24"/>
        </w:rPr>
        <w:t xml:space="preserve">the </w:t>
      </w:r>
      <w:r w:rsidRPr="00834C1F">
        <w:rPr>
          <w:rFonts w:cs="Arial"/>
          <w:szCs w:val="24"/>
        </w:rPr>
        <w:t xml:space="preserve">service to improve </w:t>
      </w:r>
      <w:r>
        <w:rPr>
          <w:rFonts w:cs="Arial"/>
          <w:szCs w:val="24"/>
        </w:rPr>
        <w:t xml:space="preserve">the </w:t>
      </w:r>
      <w:r w:rsidRPr="00834C1F">
        <w:rPr>
          <w:rFonts w:cs="Arial"/>
          <w:szCs w:val="24"/>
        </w:rPr>
        <w:t>work instruction process and job completed process withi</w:t>
      </w:r>
      <w:r>
        <w:rPr>
          <w:rFonts w:cs="Arial"/>
          <w:szCs w:val="24"/>
        </w:rPr>
        <w:t>n highways and street lighting.</w:t>
      </w:r>
      <w:r w:rsidRPr="00834C1F">
        <w:rPr>
          <w:rFonts w:cs="Arial"/>
          <w:szCs w:val="24"/>
        </w:rPr>
        <w:t xml:space="preserve"> This will also remove back log records</w:t>
      </w:r>
      <w:r w:rsidR="009A60AA">
        <w:rPr>
          <w:rFonts w:cs="Arial"/>
          <w:szCs w:val="24"/>
        </w:rPr>
        <w:t>,</w:t>
      </w:r>
      <w:r w:rsidRPr="00834C1F">
        <w:rPr>
          <w:rFonts w:cs="Arial"/>
          <w:szCs w:val="24"/>
        </w:rPr>
        <w:t xml:space="preserve"> some of which result in delayed job sign-off times.</w:t>
      </w:r>
    </w:p>
    <w:p w:rsidR="00FA05F9" w:rsidRPr="00834C1F" w:rsidRDefault="00FA05F9" w:rsidP="009A60AA">
      <w:pPr>
        <w:jc w:val="both"/>
        <w:rPr>
          <w:rFonts w:cs="Arial"/>
          <w:szCs w:val="24"/>
        </w:rPr>
      </w:pPr>
    </w:p>
    <w:p w:rsidR="00FA05F9" w:rsidRPr="00834C1F" w:rsidRDefault="009B31E1" w:rsidP="009A60AA">
      <w:pPr>
        <w:jc w:val="both"/>
        <w:rPr>
          <w:rFonts w:ascii="Calibri" w:hAnsi="Calibri"/>
          <w:sz w:val="22"/>
        </w:rPr>
      </w:pPr>
      <w:r w:rsidRPr="00834C1F">
        <w:t xml:space="preserve">The figures </w:t>
      </w:r>
      <w:r>
        <w:t>show</w:t>
      </w:r>
      <w:r w:rsidRPr="00834C1F">
        <w:t xml:space="preserve"> </w:t>
      </w:r>
      <w:r>
        <w:t xml:space="preserve">some </w:t>
      </w:r>
      <w:r w:rsidRPr="00834C1F">
        <w:t>improvement as we bear the fruits of the measures previously introduced</w:t>
      </w:r>
      <w:r w:rsidR="009A60AA">
        <w:t>,</w:t>
      </w:r>
      <w:r w:rsidRPr="00834C1F">
        <w:t xml:space="preserve"> including improved communications between inspectors, the contact centre and the local teams, improvements in housekeeping within the recording system and pre-booking of traffic management when possible.</w:t>
      </w:r>
      <w:r>
        <w:t xml:space="preserve"> The 2 day urgent and 5 day defects remains an area of concern</w:t>
      </w:r>
      <w:r w:rsidR="009A60AA">
        <w:t>;</w:t>
      </w:r>
      <w:r>
        <w:t xml:space="preserve"> improvement will be seen in this area once the amendments to the risk matrix filter through from July 2019 figure.   </w:t>
      </w:r>
      <w:r w:rsidRPr="00834C1F">
        <w:t xml:space="preserve">  </w:t>
      </w:r>
    </w:p>
    <w:p w:rsidR="00FA05F9" w:rsidRDefault="00FA05F9" w:rsidP="009A60AA">
      <w:pPr>
        <w:jc w:val="both"/>
      </w:pPr>
    </w:p>
    <w:p w:rsidR="00FA05F9" w:rsidRDefault="009B31E1" w:rsidP="009A60AA">
      <w:pPr>
        <w:jc w:val="both"/>
        <w:rPr>
          <w:i/>
        </w:rPr>
      </w:pPr>
      <w:r>
        <w:rPr>
          <w:i/>
        </w:rPr>
        <w:t>Street lighting</w:t>
      </w:r>
    </w:p>
    <w:p w:rsidR="009A60AA" w:rsidRDefault="009A60AA" w:rsidP="009A60AA">
      <w:pPr>
        <w:jc w:val="both"/>
        <w:rPr>
          <w:i/>
        </w:rPr>
      </w:pPr>
    </w:p>
    <w:p w:rsidR="00FA05F9" w:rsidRPr="00343D0C" w:rsidRDefault="009B31E1" w:rsidP="009A60AA">
      <w:pPr>
        <w:jc w:val="both"/>
        <w:rPr>
          <w:rFonts w:cs="Arial"/>
          <w:szCs w:val="24"/>
        </w:rPr>
      </w:pPr>
      <w:r w:rsidRPr="00532582">
        <w:rPr>
          <w:rFonts w:cs="Arial"/>
          <w:szCs w:val="24"/>
        </w:rPr>
        <w:t>The figures have improved this quarter due to lantern availability and replacement following the start of the Salix Light Emitting Diode (LED) replacement programme.</w:t>
      </w:r>
    </w:p>
    <w:p w:rsidR="00FA05F9" w:rsidRDefault="00FA05F9" w:rsidP="009A60AA">
      <w:pPr>
        <w:jc w:val="both"/>
      </w:pPr>
    </w:p>
    <w:p w:rsidR="00FA05F9" w:rsidRDefault="009B31E1" w:rsidP="009A60AA">
      <w:pPr>
        <w:jc w:val="both"/>
      </w:pPr>
      <w:r>
        <w:t>As background, t</w:t>
      </w:r>
      <w:r w:rsidRPr="00834C1F">
        <w:t xml:space="preserve">he combination of changes to inspections, routine maintenance and public reporting have resulted in changes to the profile of faults resulting in different resourcing requirements. Changes to the resourcing and procurement arrangements have been made to better match this profile e.g. traffic management contracts have been amended to have additional providers available for peaks in </w:t>
      </w:r>
      <w:r>
        <w:t>faults over the winter period.</w:t>
      </w:r>
    </w:p>
    <w:p w:rsidR="00FA05F9" w:rsidRDefault="00FA05F9" w:rsidP="009A60AA">
      <w:pPr>
        <w:jc w:val="both"/>
      </w:pPr>
    </w:p>
    <w:p w:rsidR="00FA05F9" w:rsidRDefault="009B31E1" w:rsidP="009A60AA">
      <w:pPr>
        <w:jc w:val="both"/>
        <w:rPr>
          <w:i/>
        </w:rPr>
      </w:pPr>
      <w:r w:rsidRPr="00B018BC">
        <w:rPr>
          <w:i/>
        </w:rPr>
        <w:t>Waste management</w:t>
      </w:r>
    </w:p>
    <w:p w:rsidR="009A60AA" w:rsidRPr="009A17E1" w:rsidRDefault="009A60AA" w:rsidP="009A60AA">
      <w:pPr>
        <w:jc w:val="both"/>
        <w:rPr>
          <w:rFonts w:ascii="Calibri" w:hAnsi="Calibri"/>
          <w:sz w:val="22"/>
        </w:rPr>
      </w:pPr>
    </w:p>
    <w:p w:rsidR="00FA05F9" w:rsidRPr="005D7C16" w:rsidRDefault="009B31E1" w:rsidP="009A60AA">
      <w:pPr>
        <w:jc w:val="both"/>
        <w:rPr>
          <w:rFonts w:cs="Arial"/>
          <w:szCs w:val="24"/>
        </w:rPr>
      </w:pPr>
      <w:r w:rsidRPr="005D7C16">
        <w:rPr>
          <w:rFonts w:cs="Arial"/>
          <w:szCs w:val="24"/>
        </w:rPr>
        <w:t>We are not yet seeing any significant shifts in recycling tonnes collected compared to the 2018/19 out-turn - early indications would suggest seeing an increase of around 1% this year. Doorstep collected green waste is comparable to the tonnage reported in 2018/19 which may suggest that the charging policy is now established across districts, providing us with a more consistent approach in forecasting this waste stream. We continue to see increases at the recycling centres - green waste is up on last year which will be partly due to the district charging for</w:t>
      </w:r>
      <w:r>
        <w:rPr>
          <w:rFonts w:cs="Arial"/>
          <w:szCs w:val="24"/>
        </w:rPr>
        <w:t xml:space="preserve"> their green waste collections. </w:t>
      </w:r>
    </w:p>
    <w:p w:rsidR="00FA05F9" w:rsidRPr="005D7C16" w:rsidRDefault="00FA05F9" w:rsidP="009A60AA">
      <w:pPr>
        <w:jc w:val="both"/>
        <w:rPr>
          <w:rFonts w:cs="Arial"/>
          <w:szCs w:val="24"/>
        </w:rPr>
      </w:pPr>
    </w:p>
    <w:p w:rsidR="00FA05F9" w:rsidRPr="005D7C16" w:rsidRDefault="009B31E1" w:rsidP="009A60AA">
      <w:pPr>
        <w:jc w:val="both"/>
        <w:rPr>
          <w:rFonts w:cs="Arial"/>
          <w:szCs w:val="24"/>
        </w:rPr>
      </w:pPr>
      <w:r w:rsidRPr="005D7C16">
        <w:rPr>
          <w:rFonts w:cs="Arial"/>
          <w:szCs w:val="24"/>
        </w:rPr>
        <w:t>In terms of the processing of residual waste at Thornton, the plant continues to be successful in mass loss and landfill diversion. A framework agreement was entered into with Lancashire Waste Recycling Ltd on 1 June 2019</w:t>
      </w:r>
      <w:r w:rsidR="009A60AA">
        <w:rPr>
          <w:rFonts w:cs="Arial"/>
          <w:szCs w:val="24"/>
        </w:rPr>
        <w:t>,</w:t>
      </w:r>
      <w:r w:rsidRPr="005D7C16">
        <w:rPr>
          <w:rFonts w:cs="Arial"/>
          <w:szCs w:val="24"/>
        </w:rPr>
        <w:t xml:space="preserve"> and is on track to produce Refuse Derived Fuel and will divert 60,000 tonnes away from landfill. The company have several new suppliers, maintaining a steady output of process residues to them for the production of R</w:t>
      </w:r>
      <w:r w:rsidR="009A60AA">
        <w:rPr>
          <w:rFonts w:cs="Arial"/>
          <w:szCs w:val="24"/>
        </w:rPr>
        <w:t>efuse Derived Fuel</w:t>
      </w:r>
      <w:r w:rsidRPr="005D7C16">
        <w:rPr>
          <w:rFonts w:cs="Arial"/>
          <w:szCs w:val="24"/>
        </w:rPr>
        <w:t xml:space="preserve"> and Compost </w:t>
      </w:r>
      <w:proofErr w:type="gramStart"/>
      <w:r w:rsidRPr="005D7C16">
        <w:rPr>
          <w:rFonts w:cs="Arial"/>
          <w:szCs w:val="24"/>
        </w:rPr>
        <w:t>Like</w:t>
      </w:r>
      <w:proofErr w:type="gramEnd"/>
      <w:r w:rsidRPr="005D7C16">
        <w:rPr>
          <w:rFonts w:cs="Arial"/>
          <w:szCs w:val="24"/>
        </w:rPr>
        <w:t xml:space="preserve"> Output.</w:t>
      </w:r>
    </w:p>
    <w:p w:rsidR="00FA05F9" w:rsidRDefault="00FA05F9" w:rsidP="009A60AA">
      <w:pPr>
        <w:jc w:val="both"/>
        <w:rPr>
          <w:rFonts w:cs="Arial"/>
          <w:sz w:val="22"/>
        </w:rPr>
      </w:pPr>
    </w:p>
    <w:p w:rsidR="00FA05F9" w:rsidRDefault="009B31E1" w:rsidP="009A60AA">
      <w:pPr>
        <w:jc w:val="both"/>
        <w:rPr>
          <w:i/>
        </w:rPr>
      </w:pPr>
      <w:r w:rsidRPr="0077144D">
        <w:rPr>
          <w:i/>
        </w:rPr>
        <w:t>Planning</w:t>
      </w:r>
    </w:p>
    <w:p w:rsidR="009A60AA" w:rsidRPr="0077144D" w:rsidRDefault="009A60AA" w:rsidP="009A60AA">
      <w:pPr>
        <w:jc w:val="both"/>
        <w:rPr>
          <w:rFonts w:cs="Arial"/>
          <w:sz w:val="22"/>
        </w:rPr>
      </w:pPr>
    </w:p>
    <w:p w:rsidR="00FA05F9" w:rsidRPr="00CB2E99" w:rsidRDefault="009B31E1" w:rsidP="009A60AA">
      <w:pPr>
        <w:jc w:val="both"/>
        <w:rPr>
          <w:rFonts w:cs="Arial"/>
          <w:color w:val="000000" w:themeColor="text1"/>
          <w:szCs w:val="24"/>
        </w:rPr>
      </w:pPr>
      <w:r>
        <w:rPr>
          <w:rFonts w:cs="Arial"/>
          <w:color w:val="000000" w:themeColor="text1"/>
          <w:szCs w:val="24"/>
        </w:rPr>
        <w:t>In quarter 1 of 2019/</w:t>
      </w:r>
      <w:r w:rsidRPr="00CB2E99">
        <w:rPr>
          <w:rFonts w:cs="Arial"/>
          <w:color w:val="000000" w:themeColor="text1"/>
          <w:szCs w:val="24"/>
        </w:rPr>
        <w:t>20, a total of 5 County matter applications were determined, of which 2 (40%) were determined withi</w:t>
      </w:r>
      <w:r>
        <w:rPr>
          <w:rFonts w:cs="Arial"/>
          <w:color w:val="000000" w:themeColor="text1"/>
          <w:szCs w:val="24"/>
        </w:rPr>
        <w:t xml:space="preserve">n the 13 week decision period. </w:t>
      </w:r>
      <w:r w:rsidRPr="0072531D">
        <w:rPr>
          <w:rFonts w:cs="Arial"/>
          <w:color w:val="000000" w:themeColor="text1"/>
          <w:szCs w:val="24"/>
        </w:rPr>
        <w:t>Agreed</w:t>
      </w:r>
      <w:r>
        <w:rPr>
          <w:rFonts w:cs="Arial"/>
          <w:color w:val="000000" w:themeColor="text1"/>
          <w:szCs w:val="24"/>
        </w:rPr>
        <w:t xml:space="preserve"> time extensions were in place for the other 3</w:t>
      </w:r>
      <w:r w:rsidRPr="0072531D">
        <w:rPr>
          <w:rFonts w:cs="Arial"/>
          <w:color w:val="000000" w:themeColor="text1"/>
          <w:szCs w:val="24"/>
        </w:rPr>
        <w:t xml:space="preserve"> applications</w:t>
      </w:r>
      <w:r>
        <w:rPr>
          <w:rFonts w:cs="Arial"/>
          <w:color w:val="000000" w:themeColor="text1"/>
          <w:szCs w:val="24"/>
        </w:rPr>
        <w:t xml:space="preserve"> determined over 13 weeks.</w:t>
      </w:r>
    </w:p>
    <w:p w:rsidR="00FA05F9" w:rsidRDefault="00FA05F9" w:rsidP="009A60AA">
      <w:pPr>
        <w:jc w:val="both"/>
        <w:rPr>
          <w:rFonts w:cs="Arial"/>
          <w:color w:val="000000" w:themeColor="text1"/>
          <w:szCs w:val="24"/>
        </w:rPr>
      </w:pPr>
    </w:p>
    <w:p w:rsidR="00FA05F9" w:rsidRDefault="009B31E1" w:rsidP="009A60AA">
      <w:pPr>
        <w:jc w:val="both"/>
        <w:rPr>
          <w:rFonts w:cs="Arial"/>
          <w:color w:val="000000" w:themeColor="text1"/>
          <w:szCs w:val="24"/>
        </w:rPr>
      </w:pPr>
      <w:r>
        <w:rPr>
          <w:rFonts w:cs="Arial"/>
          <w:color w:val="000000" w:themeColor="text1"/>
          <w:szCs w:val="24"/>
        </w:rPr>
        <w:lastRenderedPageBreak/>
        <w:t>**</w:t>
      </w:r>
      <w:r w:rsidRPr="0072531D">
        <w:rPr>
          <w:rFonts w:cs="Arial"/>
          <w:color w:val="000000" w:themeColor="text1"/>
          <w:szCs w:val="24"/>
        </w:rPr>
        <w:t>Agreed</w:t>
      </w:r>
      <w:r>
        <w:rPr>
          <w:rFonts w:cs="Arial"/>
          <w:color w:val="000000" w:themeColor="text1"/>
          <w:szCs w:val="24"/>
        </w:rPr>
        <w:t xml:space="preserve"> time extensions </w:t>
      </w:r>
      <w:r w:rsidRPr="0072531D">
        <w:rPr>
          <w:rFonts w:cs="Arial"/>
          <w:color w:val="000000" w:themeColor="text1"/>
          <w:szCs w:val="24"/>
        </w:rPr>
        <w:t>over 13 week</w:t>
      </w:r>
      <w:r>
        <w:rPr>
          <w:rFonts w:cs="Arial"/>
          <w:color w:val="000000" w:themeColor="text1"/>
          <w:szCs w:val="24"/>
        </w:rPr>
        <w:t>s are often required for large applications so the number (%) determined within this timescale is not RAG rated.</w:t>
      </w:r>
    </w:p>
    <w:p w:rsidR="00FA05F9" w:rsidRDefault="00FA05F9" w:rsidP="009A60AA">
      <w:pPr>
        <w:jc w:val="both"/>
        <w:rPr>
          <w:rFonts w:cs="Arial"/>
          <w:color w:val="000000" w:themeColor="text1"/>
          <w:szCs w:val="24"/>
        </w:rPr>
      </w:pPr>
    </w:p>
    <w:p w:rsidR="00FA05F9" w:rsidRDefault="009B31E1" w:rsidP="009A60AA">
      <w:pPr>
        <w:jc w:val="both"/>
        <w:rPr>
          <w:rFonts w:cs="Arial"/>
          <w:color w:val="000000" w:themeColor="text1"/>
          <w:szCs w:val="24"/>
        </w:rPr>
      </w:pPr>
      <w:r>
        <w:rPr>
          <w:rFonts w:cs="Arial"/>
          <w:color w:val="000000" w:themeColor="text1"/>
          <w:szCs w:val="24"/>
        </w:rPr>
        <w:t>There were 9 applications</w:t>
      </w:r>
      <w:r w:rsidRPr="00CB2E99">
        <w:rPr>
          <w:rFonts w:cs="Arial"/>
          <w:color w:val="000000" w:themeColor="text1"/>
          <w:szCs w:val="24"/>
        </w:rPr>
        <w:t xml:space="preserve"> for L</w:t>
      </w:r>
      <w:r w:rsidR="00E9302E">
        <w:rPr>
          <w:rFonts w:cs="Arial"/>
          <w:color w:val="000000" w:themeColor="text1"/>
          <w:szCs w:val="24"/>
        </w:rPr>
        <w:t xml:space="preserve">ancashire </w:t>
      </w:r>
      <w:r w:rsidRPr="00CB2E99">
        <w:rPr>
          <w:rFonts w:cs="Arial"/>
          <w:color w:val="000000" w:themeColor="text1"/>
          <w:szCs w:val="24"/>
        </w:rPr>
        <w:t>C</w:t>
      </w:r>
      <w:r w:rsidR="00E9302E">
        <w:rPr>
          <w:rFonts w:cs="Arial"/>
          <w:color w:val="000000" w:themeColor="text1"/>
          <w:szCs w:val="24"/>
        </w:rPr>
        <w:t xml:space="preserve">ounty </w:t>
      </w:r>
      <w:r w:rsidRPr="00CB2E99">
        <w:rPr>
          <w:rFonts w:cs="Arial"/>
          <w:color w:val="000000" w:themeColor="text1"/>
          <w:szCs w:val="24"/>
        </w:rPr>
        <w:t>C</w:t>
      </w:r>
      <w:r w:rsidR="00E9302E">
        <w:rPr>
          <w:rFonts w:cs="Arial"/>
          <w:color w:val="000000" w:themeColor="text1"/>
          <w:szCs w:val="24"/>
        </w:rPr>
        <w:t>ouncil</w:t>
      </w:r>
      <w:r w:rsidRPr="00CB2E99">
        <w:rPr>
          <w:rFonts w:cs="Arial"/>
          <w:color w:val="000000" w:themeColor="text1"/>
          <w:szCs w:val="24"/>
        </w:rPr>
        <w:t xml:space="preserve">'s own Regulation 3 </w:t>
      </w:r>
      <w:r>
        <w:rPr>
          <w:rFonts w:cs="Arial"/>
          <w:color w:val="000000" w:themeColor="text1"/>
          <w:szCs w:val="24"/>
        </w:rPr>
        <w:t>applications</w:t>
      </w:r>
      <w:r w:rsidRPr="00CB2E99">
        <w:rPr>
          <w:rFonts w:cs="Arial"/>
          <w:color w:val="000000" w:themeColor="text1"/>
          <w:szCs w:val="24"/>
        </w:rPr>
        <w:t xml:space="preserve"> in quar</w:t>
      </w:r>
      <w:r>
        <w:rPr>
          <w:rFonts w:cs="Arial"/>
          <w:color w:val="000000" w:themeColor="text1"/>
          <w:szCs w:val="24"/>
        </w:rPr>
        <w:t>ter 1 of 2019/</w:t>
      </w:r>
      <w:r w:rsidRPr="00CB2E99">
        <w:rPr>
          <w:rFonts w:cs="Arial"/>
          <w:color w:val="000000" w:themeColor="text1"/>
          <w:szCs w:val="24"/>
        </w:rPr>
        <w:t>20</w:t>
      </w:r>
      <w:r>
        <w:rPr>
          <w:rFonts w:cs="Arial"/>
          <w:color w:val="000000" w:themeColor="text1"/>
          <w:szCs w:val="24"/>
        </w:rPr>
        <w:t xml:space="preserve">. </w:t>
      </w:r>
      <w:r w:rsidRPr="00CB2E99">
        <w:rPr>
          <w:rFonts w:cs="Arial"/>
          <w:color w:val="000000" w:themeColor="text1"/>
          <w:szCs w:val="24"/>
        </w:rPr>
        <w:t>5</w:t>
      </w:r>
      <w:r>
        <w:rPr>
          <w:rFonts w:cs="Arial"/>
          <w:color w:val="000000" w:themeColor="text1"/>
          <w:szCs w:val="24"/>
        </w:rPr>
        <w:t xml:space="preserve"> (56%) applications </w:t>
      </w:r>
      <w:r w:rsidRPr="00CB2E99">
        <w:rPr>
          <w:rFonts w:cs="Arial"/>
          <w:color w:val="000000" w:themeColor="text1"/>
          <w:szCs w:val="24"/>
        </w:rPr>
        <w:t>were determined</w:t>
      </w:r>
      <w:r>
        <w:rPr>
          <w:rFonts w:cs="Arial"/>
          <w:color w:val="000000" w:themeColor="text1"/>
          <w:szCs w:val="24"/>
        </w:rPr>
        <w:t xml:space="preserve"> within 8 weeks and 4 (44%) </w:t>
      </w:r>
      <w:r w:rsidRPr="00CB2E99">
        <w:rPr>
          <w:rFonts w:cs="Arial"/>
          <w:color w:val="000000" w:themeColor="text1"/>
          <w:szCs w:val="24"/>
        </w:rPr>
        <w:t>outside</w:t>
      </w:r>
      <w:r>
        <w:rPr>
          <w:rFonts w:cs="Arial"/>
          <w:color w:val="000000" w:themeColor="text1"/>
          <w:szCs w:val="24"/>
        </w:rPr>
        <w:t xml:space="preserve"> of this period</w:t>
      </w:r>
      <w:r w:rsidRPr="00CB2E99">
        <w:rPr>
          <w:rFonts w:cs="Arial"/>
          <w:color w:val="000000" w:themeColor="text1"/>
          <w:szCs w:val="24"/>
        </w:rPr>
        <w:t xml:space="preserve">. </w:t>
      </w:r>
    </w:p>
    <w:p w:rsidR="00FA05F9" w:rsidRPr="00CB2E99" w:rsidRDefault="00FA05F9" w:rsidP="009A60AA">
      <w:pPr>
        <w:jc w:val="both"/>
        <w:rPr>
          <w:rFonts w:cs="Arial"/>
          <w:color w:val="000000" w:themeColor="text1"/>
          <w:szCs w:val="24"/>
        </w:rPr>
      </w:pPr>
    </w:p>
    <w:p w:rsidR="00FA05F9" w:rsidRDefault="009B31E1" w:rsidP="009A60AA">
      <w:pPr>
        <w:jc w:val="both"/>
        <w:rPr>
          <w:rFonts w:cs="Arial"/>
          <w:color w:val="000000" w:themeColor="text1"/>
          <w:szCs w:val="24"/>
        </w:rPr>
      </w:pPr>
      <w:r>
        <w:rPr>
          <w:rFonts w:cs="Arial"/>
          <w:color w:val="000000" w:themeColor="text1"/>
          <w:szCs w:val="24"/>
        </w:rPr>
        <w:t>**</w:t>
      </w:r>
      <w:r w:rsidRPr="00CB2E99">
        <w:rPr>
          <w:rFonts w:cs="Arial"/>
          <w:color w:val="000000" w:themeColor="text1"/>
          <w:szCs w:val="24"/>
        </w:rPr>
        <w:t>The 8 week target is a discretionary target used for district schemes but applied to L</w:t>
      </w:r>
      <w:r w:rsidR="00227E42">
        <w:rPr>
          <w:rFonts w:cs="Arial"/>
          <w:color w:val="000000" w:themeColor="text1"/>
          <w:szCs w:val="24"/>
        </w:rPr>
        <w:t xml:space="preserve">ancashire </w:t>
      </w:r>
      <w:r w:rsidRPr="00CB2E99">
        <w:rPr>
          <w:rFonts w:cs="Arial"/>
          <w:color w:val="000000" w:themeColor="text1"/>
          <w:szCs w:val="24"/>
        </w:rPr>
        <w:t>C</w:t>
      </w:r>
      <w:r w:rsidR="00227E42">
        <w:rPr>
          <w:rFonts w:cs="Arial"/>
          <w:color w:val="000000" w:themeColor="text1"/>
          <w:szCs w:val="24"/>
        </w:rPr>
        <w:t xml:space="preserve">ounty </w:t>
      </w:r>
      <w:r w:rsidRPr="00CB2E99">
        <w:rPr>
          <w:rFonts w:cs="Arial"/>
          <w:color w:val="000000" w:themeColor="text1"/>
          <w:szCs w:val="24"/>
        </w:rPr>
        <w:t>C</w:t>
      </w:r>
      <w:r w:rsidR="00227E42">
        <w:rPr>
          <w:rFonts w:cs="Arial"/>
          <w:color w:val="000000" w:themeColor="text1"/>
          <w:szCs w:val="24"/>
        </w:rPr>
        <w:t>ouncil</w:t>
      </w:r>
      <w:r w:rsidRPr="00CB2E99">
        <w:rPr>
          <w:rFonts w:cs="Arial"/>
          <w:color w:val="000000" w:themeColor="text1"/>
          <w:szCs w:val="24"/>
        </w:rPr>
        <w:t>'s own schemes in the absence of a national target.</w:t>
      </w:r>
    </w:p>
    <w:p w:rsidR="00FA05F9" w:rsidRDefault="00FA05F9" w:rsidP="00FA05F9">
      <w:pPr>
        <w:rPr>
          <w:rFonts w:cs="Arial"/>
          <w:color w:val="000000" w:themeColor="text1"/>
          <w:szCs w:val="24"/>
        </w:rPr>
      </w:pPr>
    </w:p>
    <w:p w:rsidR="00FA05F9" w:rsidRPr="00721388" w:rsidRDefault="009B31E1" w:rsidP="00FA05F9">
      <w:pPr>
        <w:rPr>
          <w:rFonts w:cs="Arial"/>
          <w:color w:val="000000" w:themeColor="text1"/>
          <w:szCs w:val="24"/>
        </w:rPr>
      </w:pPr>
      <w:r w:rsidRPr="00D2787B">
        <w:rPr>
          <w:b/>
        </w:rPr>
        <w:t>A</w:t>
      </w:r>
      <w:r>
        <w:rPr>
          <w:b/>
        </w:rPr>
        <w:t xml:space="preserve">dult Services and Public Health </w:t>
      </w:r>
    </w:p>
    <w:p w:rsidR="00FA05F9" w:rsidRDefault="00FA05F9" w:rsidP="00FA05F9">
      <w:pPr>
        <w:pStyle w:val="NoSpacing"/>
      </w:pPr>
    </w:p>
    <w:p w:rsidR="00FA05F9" w:rsidRDefault="009B31E1" w:rsidP="00FA05F9">
      <w:pPr>
        <w:pStyle w:val="NoSpacing"/>
        <w:rPr>
          <w:i/>
          <w:sz w:val="18"/>
          <w:szCs w:val="18"/>
        </w:rPr>
      </w:pPr>
      <w:r w:rsidRPr="00D2787B">
        <w:rPr>
          <w:i/>
          <w:sz w:val="18"/>
          <w:szCs w:val="18"/>
        </w:rPr>
        <w:t>Note: ASCOF refers to the Adult Social Care Outcomes Framework which is a suite of national performance indicators.</w:t>
      </w:r>
    </w:p>
    <w:p w:rsidR="00FA05F9" w:rsidRDefault="00FA05F9" w:rsidP="00FA05F9">
      <w:pPr>
        <w:pStyle w:val="NoSpacing"/>
        <w:rPr>
          <w:i/>
          <w:sz w:val="18"/>
          <w:szCs w:val="18"/>
        </w:rPr>
      </w:pPr>
    </w:p>
    <w:tbl>
      <w:tblPr>
        <w:tblW w:w="0" w:type="auto"/>
        <w:tblInd w:w="-10" w:type="dxa"/>
        <w:tblLook w:val="04A0" w:firstRow="1" w:lastRow="0" w:firstColumn="1" w:lastColumn="0" w:noHBand="0" w:noVBand="1"/>
      </w:tblPr>
      <w:tblGrid>
        <w:gridCol w:w="3327"/>
        <w:gridCol w:w="773"/>
        <w:gridCol w:w="978"/>
        <w:gridCol w:w="962"/>
        <w:gridCol w:w="978"/>
        <w:gridCol w:w="962"/>
        <w:gridCol w:w="1037"/>
      </w:tblGrid>
      <w:tr w:rsidR="004744FE" w:rsidTr="00FA05F9">
        <w:trPr>
          <w:trHeight w:val="420"/>
        </w:trPr>
        <w:tc>
          <w:tcPr>
            <w:tcW w:w="0" w:type="auto"/>
            <w:tcBorders>
              <w:top w:val="single" w:sz="8"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Performance Indicator</w:t>
            </w:r>
            <w:r w:rsidRPr="00DC3962">
              <w:rPr>
                <w:rFonts w:ascii="Calibri" w:hAnsi="Calibri" w:cs="Calibri"/>
                <w:sz w:val="18"/>
                <w:szCs w:val="18"/>
              </w:rPr>
              <w:t> </w:t>
            </w:r>
          </w:p>
        </w:tc>
        <w:tc>
          <w:tcPr>
            <w:tcW w:w="0" w:type="auto"/>
            <w:tcBorders>
              <w:top w:val="single" w:sz="8"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Good is: H/L</w:t>
            </w:r>
          </w:p>
        </w:tc>
        <w:tc>
          <w:tcPr>
            <w:tcW w:w="0" w:type="auto"/>
            <w:tcBorders>
              <w:top w:val="single" w:sz="8"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2017/18</w:t>
            </w:r>
            <w:r w:rsidRPr="00DC3962">
              <w:rPr>
                <w:rFonts w:cs="Arial"/>
                <w:b/>
                <w:bCs/>
                <w:sz w:val="16"/>
                <w:szCs w:val="16"/>
              </w:rPr>
              <w:t xml:space="preserve"> (full year)</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 xml:space="preserve">Q1 </w:t>
            </w:r>
          </w:p>
          <w:p w:rsidR="00FA05F9" w:rsidRPr="00DC3962" w:rsidRDefault="009B31E1" w:rsidP="00FA05F9">
            <w:pPr>
              <w:rPr>
                <w:rFonts w:cs="Arial"/>
                <w:b/>
                <w:bCs/>
                <w:sz w:val="18"/>
                <w:szCs w:val="18"/>
              </w:rPr>
            </w:pPr>
            <w:r w:rsidRPr="00DC3962">
              <w:rPr>
                <w:rFonts w:cs="Arial"/>
                <w:b/>
                <w:bCs/>
                <w:sz w:val="18"/>
                <w:szCs w:val="18"/>
              </w:rPr>
              <w:t>2018/19</w:t>
            </w:r>
          </w:p>
        </w:tc>
        <w:tc>
          <w:tcPr>
            <w:tcW w:w="0" w:type="auto"/>
            <w:tcBorders>
              <w:top w:val="single" w:sz="8"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 xml:space="preserve">2018/19 </w:t>
            </w:r>
            <w:r w:rsidRPr="00DC3962">
              <w:rPr>
                <w:rFonts w:cs="Arial"/>
                <w:b/>
                <w:bCs/>
                <w:sz w:val="16"/>
                <w:szCs w:val="16"/>
              </w:rPr>
              <w:t>(full year)</w:t>
            </w:r>
          </w:p>
        </w:tc>
        <w:tc>
          <w:tcPr>
            <w:tcW w:w="0" w:type="auto"/>
            <w:tcBorders>
              <w:top w:val="single" w:sz="8"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Q1 2019/20</w:t>
            </w:r>
          </w:p>
        </w:tc>
        <w:tc>
          <w:tcPr>
            <w:tcW w:w="0" w:type="auto"/>
            <w:tcBorders>
              <w:top w:val="single" w:sz="4" w:space="0" w:color="auto"/>
              <w:left w:val="single" w:sz="8" w:space="0" w:color="auto"/>
              <w:bottom w:val="single" w:sz="8" w:space="0" w:color="000000"/>
              <w:right w:val="single" w:sz="8" w:space="0" w:color="auto"/>
            </w:tcBorders>
            <w:shd w:val="clear" w:color="000000" w:fill="F2F2F2"/>
            <w:vAlign w:val="center"/>
            <w:hideMark/>
          </w:tcPr>
          <w:p w:rsidR="00FA05F9" w:rsidRPr="00DC3962" w:rsidRDefault="009B31E1" w:rsidP="00FA05F9">
            <w:pPr>
              <w:jc w:val="center"/>
              <w:rPr>
                <w:rFonts w:cs="Arial"/>
                <w:b/>
                <w:bCs/>
                <w:sz w:val="18"/>
                <w:szCs w:val="18"/>
              </w:rPr>
            </w:pPr>
            <w:r w:rsidRPr="00DC3962">
              <w:rPr>
                <w:rFonts w:cs="Arial"/>
                <w:b/>
                <w:bCs/>
                <w:sz w:val="18"/>
                <w:szCs w:val="18"/>
              </w:rPr>
              <w:t>England Average</w:t>
            </w:r>
          </w:p>
        </w:tc>
      </w:tr>
      <w:tr w:rsidR="004744FE" w:rsidTr="00FA05F9">
        <w:trPr>
          <w:trHeight w:val="114"/>
        </w:trPr>
        <w:tc>
          <w:tcPr>
            <w:tcW w:w="0" w:type="auto"/>
            <w:gridSpan w:val="7"/>
            <w:tcBorders>
              <w:top w:val="nil"/>
              <w:left w:val="single" w:sz="8" w:space="0" w:color="auto"/>
              <w:bottom w:val="single" w:sz="8"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Adult social care – personalisation</w:t>
            </w:r>
          </w:p>
        </w:tc>
      </w:tr>
      <w:tr w:rsidR="004744FE" w:rsidTr="00FA05F9">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Adults receiving direct payments  (ASCOF) snapshot as at period end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nil"/>
              <w:left w:val="nil"/>
              <w:bottom w:val="single" w:sz="8" w:space="0" w:color="auto"/>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szCs w:val="18"/>
              </w:rPr>
              <w:t>25.1%</w:t>
            </w:r>
          </w:p>
        </w:tc>
        <w:tc>
          <w:tcPr>
            <w:tcW w:w="0" w:type="auto"/>
            <w:tcBorders>
              <w:top w:val="nil"/>
              <w:left w:val="nil"/>
              <w:bottom w:val="single" w:sz="8" w:space="0" w:color="auto"/>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szCs w:val="18"/>
              </w:rPr>
              <w:t>26.5%</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30.4%</w:t>
            </w:r>
          </w:p>
        </w:tc>
        <w:tc>
          <w:tcPr>
            <w:tcW w:w="0" w:type="auto"/>
            <w:tcBorders>
              <w:top w:val="nil"/>
              <w:left w:val="nil"/>
              <w:bottom w:val="single" w:sz="8" w:space="0" w:color="auto"/>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31.3%</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28.5%</w:t>
            </w:r>
          </w:p>
        </w:tc>
      </w:tr>
      <w:tr w:rsidR="004744FE" w:rsidTr="00FA05F9">
        <w:trPr>
          <w:trHeight w:val="48"/>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Support for carers</w:t>
            </w:r>
          </w:p>
        </w:tc>
      </w:tr>
      <w:tr w:rsidR="004744FE" w:rsidTr="00FA05F9">
        <w:trPr>
          <w:trHeight w:val="5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Carers receiving direct payments for support direct to carer (ASCOF)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98.6%</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99.4%</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99.2%</w:t>
            </w:r>
          </w:p>
        </w:tc>
        <w:tc>
          <w:tcPr>
            <w:tcW w:w="0" w:type="auto"/>
            <w:tcBorders>
              <w:top w:val="nil"/>
              <w:left w:val="nil"/>
              <w:bottom w:val="single" w:sz="8" w:space="0" w:color="auto"/>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99.5</w:t>
            </w:r>
            <w:r>
              <w:rPr>
                <w:rFonts w:cs="Arial"/>
                <w:bCs/>
                <w:sz w:val="18"/>
              </w:rPr>
              <w:t>%</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74.1%</w:t>
            </w:r>
          </w:p>
        </w:tc>
      </w:tr>
      <w:tr w:rsidR="004744FE" w:rsidTr="00FA05F9">
        <w:trPr>
          <w:trHeight w:val="65"/>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Support for people with learning disabilities</w:t>
            </w:r>
          </w:p>
        </w:tc>
      </w:tr>
      <w:tr w:rsidR="004744FE" w:rsidTr="00FA05F9">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Proportion of adults with learning disabilities who live in their own home or with their family (ASCOF)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85.3%</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85.1%</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84.1%</w:t>
            </w:r>
          </w:p>
        </w:tc>
        <w:tc>
          <w:tcPr>
            <w:tcW w:w="0" w:type="auto"/>
            <w:tcBorders>
              <w:top w:val="nil"/>
              <w:left w:val="nil"/>
              <w:bottom w:val="single" w:sz="8" w:space="0" w:color="auto"/>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83.4%</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77.2%</w:t>
            </w:r>
          </w:p>
        </w:tc>
      </w:tr>
      <w:tr w:rsidR="004744FE" w:rsidTr="00FA05F9">
        <w:trPr>
          <w:trHeight w:val="48"/>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 xml:space="preserve">Support for people to remain independent   </w:t>
            </w:r>
          </w:p>
        </w:tc>
      </w:tr>
      <w:tr w:rsidR="004744FE" w:rsidTr="00FA05F9">
        <w:trPr>
          <w:trHeight w:val="73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Permanent admissions to residential and nursing care homes per 100,000 pop aged 18-64 (ASCOF)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L</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19.2</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19.6</w:t>
            </w:r>
          </w:p>
        </w:tc>
        <w:tc>
          <w:tcPr>
            <w:tcW w:w="0" w:type="auto"/>
            <w:tcBorders>
              <w:top w:val="nil"/>
              <w:left w:val="nil"/>
              <w:bottom w:val="single" w:sz="8" w:space="0" w:color="auto"/>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rPr>
              <w:t>16.5</w:t>
            </w:r>
          </w:p>
        </w:tc>
        <w:tc>
          <w:tcPr>
            <w:tcW w:w="0" w:type="auto"/>
            <w:tcBorders>
              <w:top w:val="nil"/>
              <w:left w:val="nil"/>
              <w:bottom w:val="single" w:sz="8" w:space="0" w:color="auto"/>
              <w:right w:val="single" w:sz="8" w:space="0" w:color="auto"/>
            </w:tcBorders>
            <w:shd w:val="clear" w:color="000000" w:fill="F7CAAC"/>
            <w:vAlign w:val="center"/>
            <w:hideMark/>
          </w:tcPr>
          <w:p w:rsidR="00FA05F9" w:rsidRPr="00B051C5" w:rsidRDefault="009B31E1" w:rsidP="00FA05F9">
            <w:pPr>
              <w:jc w:val="center"/>
              <w:rPr>
                <w:rFonts w:cs="Arial"/>
                <w:bCs/>
                <w:sz w:val="18"/>
                <w:szCs w:val="18"/>
              </w:rPr>
            </w:pPr>
            <w:r w:rsidRPr="00B051C5">
              <w:rPr>
                <w:rFonts w:cs="Arial"/>
                <w:bCs/>
                <w:sz w:val="18"/>
              </w:rPr>
              <w:t>14.8</w:t>
            </w:r>
          </w:p>
        </w:tc>
        <w:tc>
          <w:tcPr>
            <w:tcW w:w="0" w:type="auto"/>
            <w:tcBorders>
              <w:top w:val="nil"/>
              <w:left w:val="nil"/>
              <w:bottom w:val="single" w:sz="8" w:space="0" w:color="auto"/>
              <w:right w:val="single" w:sz="8" w:space="0" w:color="auto"/>
            </w:tcBorders>
            <w:shd w:val="clear" w:color="000000" w:fill="FFFFFF"/>
            <w:vAlign w:val="center"/>
            <w:hideMark/>
          </w:tcPr>
          <w:p w:rsidR="00FA05F9" w:rsidRPr="00DC3962" w:rsidRDefault="009B31E1" w:rsidP="00FA05F9">
            <w:pPr>
              <w:jc w:val="center"/>
              <w:rPr>
                <w:rFonts w:cs="Arial"/>
                <w:sz w:val="18"/>
                <w:szCs w:val="18"/>
              </w:rPr>
            </w:pPr>
            <w:r w:rsidRPr="00DC3962">
              <w:rPr>
                <w:rFonts w:cs="Arial"/>
                <w:sz w:val="18"/>
                <w:szCs w:val="18"/>
              </w:rPr>
              <w:t>14</w:t>
            </w:r>
            <w:r>
              <w:rPr>
                <w:rFonts w:cs="Arial"/>
                <w:sz w:val="18"/>
                <w:szCs w:val="18"/>
              </w:rPr>
              <w:t>.0</w:t>
            </w:r>
          </w:p>
        </w:tc>
      </w:tr>
      <w:tr w:rsidR="004744FE" w:rsidTr="00FA05F9">
        <w:trPr>
          <w:trHeight w:val="735"/>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Permanent admissions to residential and nursing care homes per 100,000 pop aged 65+ (ASCOF)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L</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728.9</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731.7</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722.7</w:t>
            </w:r>
          </w:p>
        </w:tc>
        <w:tc>
          <w:tcPr>
            <w:tcW w:w="0" w:type="auto"/>
            <w:tcBorders>
              <w:top w:val="nil"/>
              <w:left w:val="nil"/>
              <w:bottom w:val="single" w:sz="8" w:space="0" w:color="auto"/>
              <w:right w:val="single" w:sz="8" w:space="0" w:color="auto"/>
            </w:tcBorders>
            <w:shd w:val="clear" w:color="000000" w:fill="FF0000"/>
            <w:vAlign w:val="center"/>
            <w:hideMark/>
          </w:tcPr>
          <w:p w:rsidR="00FA05F9" w:rsidRPr="00135A87" w:rsidRDefault="009B31E1" w:rsidP="00FA05F9">
            <w:pPr>
              <w:jc w:val="center"/>
              <w:rPr>
                <w:rFonts w:cs="Arial"/>
                <w:bCs/>
                <w:color w:val="FFFFFF"/>
                <w:sz w:val="18"/>
                <w:szCs w:val="18"/>
              </w:rPr>
            </w:pPr>
            <w:r w:rsidRPr="00135A87">
              <w:rPr>
                <w:rFonts w:cs="Arial"/>
                <w:bCs/>
                <w:color w:val="FFFFFF"/>
                <w:sz w:val="18"/>
                <w:szCs w:val="18"/>
              </w:rPr>
              <w:t>709.4</w:t>
            </w:r>
          </w:p>
        </w:tc>
        <w:tc>
          <w:tcPr>
            <w:tcW w:w="0" w:type="auto"/>
            <w:tcBorders>
              <w:top w:val="nil"/>
              <w:left w:val="nil"/>
              <w:bottom w:val="single" w:sz="8" w:space="0" w:color="auto"/>
              <w:right w:val="single" w:sz="8" w:space="0" w:color="auto"/>
            </w:tcBorders>
            <w:shd w:val="clear" w:color="000000" w:fill="FFFFFF"/>
            <w:vAlign w:val="center"/>
            <w:hideMark/>
          </w:tcPr>
          <w:p w:rsidR="00FA05F9" w:rsidRPr="00DC3962" w:rsidRDefault="009B31E1" w:rsidP="00FA05F9">
            <w:pPr>
              <w:jc w:val="center"/>
              <w:rPr>
                <w:rFonts w:cs="Arial"/>
                <w:sz w:val="18"/>
                <w:szCs w:val="18"/>
              </w:rPr>
            </w:pPr>
            <w:r w:rsidRPr="00DC3962">
              <w:rPr>
                <w:rFonts w:cs="Arial"/>
                <w:sz w:val="18"/>
                <w:szCs w:val="18"/>
              </w:rPr>
              <w:t>585.6</w:t>
            </w:r>
          </w:p>
        </w:tc>
      </w:tr>
      <w:tr w:rsidR="004744FE" w:rsidTr="00FA05F9">
        <w:trPr>
          <w:trHeight w:val="321"/>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Number of permanent admissions to residential and nursing care homes pop aged 65+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L</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1,761</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1,792</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szCs w:val="18"/>
              </w:rPr>
              <w:t>1,770</w:t>
            </w:r>
          </w:p>
        </w:tc>
        <w:tc>
          <w:tcPr>
            <w:tcW w:w="0" w:type="auto"/>
            <w:tcBorders>
              <w:top w:val="nil"/>
              <w:left w:val="nil"/>
              <w:bottom w:val="single" w:sz="8" w:space="0" w:color="auto"/>
              <w:right w:val="single" w:sz="8" w:space="0" w:color="auto"/>
            </w:tcBorders>
            <w:shd w:val="clear" w:color="000000" w:fill="FF0000"/>
            <w:vAlign w:val="center"/>
            <w:hideMark/>
          </w:tcPr>
          <w:p w:rsidR="00FA05F9" w:rsidRPr="00135A87" w:rsidRDefault="009B31E1" w:rsidP="00FA05F9">
            <w:pPr>
              <w:jc w:val="center"/>
              <w:rPr>
                <w:rFonts w:cs="Arial"/>
                <w:bCs/>
                <w:color w:val="FFFFFF"/>
                <w:sz w:val="18"/>
                <w:szCs w:val="18"/>
              </w:rPr>
            </w:pPr>
            <w:r w:rsidRPr="00135A87">
              <w:rPr>
                <w:rFonts w:cs="Arial"/>
                <w:bCs/>
                <w:color w:val="FFFFFF"/>
                <w:sz w:val="18"/>
                <w:szCs w:val="18"/>
              </w:rPr>
              <w:t>1,764</w:t>
            </w:r>
          </w:p>
        </w:tc>
        <w:tc>
          <w:tcPr>
            <w:tcW w:w="0" w:type="auto"/>
            <w:tcBorders>
              <w:top w:val="nil"/>
              <w:left w:val="nil"/>
              <w:bottom w:val="single" w:sz="8" w:space="0" w:color="auto"/>
              <w:right w:val="single" w:sz="8" w:space="0" w:color="auto"/>
            </w:tcBorders>
            <w:shd w:val="clear" w:color="000000" w:fill="FFFFFF"/>
            <w:vAlign w:val="center"/>
            <w:hideMark/>
          </w:tcPr>
          <w:p w:rsidR="00FA05F9" w:rsidRPr="00DC3962" w:rsidRDefault="009B31E1" w:rsidP="00FA05F9">
            <w:pPr>
              <w:jc w:val="center"/>
              <w:rPr>
                <w:rFonts w:cs="Arial"/>
                <w:sz w:val="18"/>
                <w:szCs w:val="18"/>
              </w:rPr>
            </w:pPr>
            <w:r w:rsidRPr="00DC3962">
              <w:rPr>
                <w:rFonts w:cs="Arial"/>
                <w:sz w:val="18"/>
                <w:szCs w:val="18"/>
              </w:rPr>
              <w:t>-</w:t>
            </w:r>
          </w:p>
        </w:tc>
      </w:tr>
      <w:tr w:rsidR="004744FE" w:rsidTr="00FA05F9">
        <w:trPr>
          <w:trHeight w:val="40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Waiting times for OT assessments (snapshot number of clients in OT allocation work tray)</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L</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rPr>
              <w:t>1,384</w:t>
            </w:r>
          </w:p>
        </w:tc>
        <w:tc>
          <w:tcPr>
            <w:tcW w:w="0" w:type="auto"/>
            <w:tcBorders>
              <w:top w:val="nil"/>
              <w:left w:val="nil"/>
              <w:bottom w:val="single" w:sz="8" w:space="0" w:color="auto"/>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rPr>
              <w:t>1,140</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398</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135A87" w:rsidRDefault="009B31E1" w:rsidP="00FA05F9">
            <w:pPr>
              <w:jc w:val="center"/>
              <w:rPr>
                <w:rFonts w:cs="Arial"/>
                <w:bCs/>
                <w:sz w:val="18"/>
                <w:szCs w:val="18"/>
              </w:rPr>
            </w:pPr>
            <w:r w:rsidRPr="00135A87">
              <w:rPr>
                <w:rFonts w:cs="Arial"/>
                <w:bCs/>
                <w:sz w:val="18"/>
              </w:rPr>
              <w:t>466</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w:t>
            </w:r>
          </w:p>
        </w:tc>
      </w:tr>
      <w:tr w:rsidR="004744FE" w:rsidTr="00FA05F9">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 xml:space="preserve">Number of </w:t>
            </w:r>
            <w:proofErr w:type="spellStart"/>
            <w:r w:rsidRPr="00DC3962">
              <w:rPr>
                <w:rFonts w:cs="Arial"/>
                <w:sz w:val="18"/>
                <w:szCs w:val="18"/>
              </w:rPr>
              <w:t>reablement</w:t>
            </w:r>
            <w:proofErr w:type="spellEnd"/>
            <w:r w:rsidRPr="00DC3962">
              <w:rPr>
                <w:rFonts w:cs="Arial"/>
                <w:sz w:val="18"/>
                <w:szCs w:val="18"/>
              </w:rPr>
              <w:t xml:space="preserve"> referrals  during the period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7,392</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2,079</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7,967</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135A87" w:rsidRDefault="009B31E1" w:rsidP="00FA05F9">
            <w:pPr>
              <w:jc w:val="center"/>
              <w:rPr>
                <w:rFonts w:cs="Arial"/>
                <w:bCs/>
                <w:sz w:val="18"/>
                <w:szCs w:val="18"/>
              </w:rPr>
            </w:pPr>
            <w:r w:rsidRPr="00135A87">
              <w:rPr>
                <w:rFonts w:cs="Arial"/>
                <w:bCs/>
                <w:sz w:val="18"/>
              </w:rPr>
              <w:t>1,871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w:t>
            </w:r>
          </w:p>
        </w:tc>
      </w:tr>
      <w:tr w:rsidR="004744FE" w:rsidTr="00FA05F9">
        <w:trPr>
          <w:trHeight w:val="315"/>
        </w:trPr>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135A87" w:rsidRDefault="00FA05F9" w:rsidP="00FA05F9">
            <w:pPr>
              <w:rPr>
                <w:rFonts w:cs="Arial"/>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r>
      <w:tr w:rsidR="004744FE" w:rsidTr="00FA05F9">
        <w:trPr>
          <w:trHeight w:val="4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 xml:space="preserve">Number of completed </w:t>
            </w:r>
            <w:proofErr w:type="spellStart"/>
            <w:r w:rsidRPr="00DC3962">
              <w:rPr>
                <w:rFonts w:cs="Arial"/>
                <w:sz w:val="18"/>
                <w:szCs w:val="18"/>
              </w:rPr>
              <w:t>reablement</w:t>
            </w:r>
            <w:proofErr w:type="spellEnd"/>
            <w:r w:rsidRPr="00DC3962">
              <w:rPr>
                <w:rFonts w:cs="Arial"/>
                <w:sz w:val="18"/>
                <w:szCs w:val="18"/>
              </w:rPr>
              <w:t xml:space="preserve"> support plans during the period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6,657</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1,851</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7,301</w:t>
            </w:r>
          </w:p>
        </w:tc>
        <w:tc>
          <w:tcPr>
            <w:tcW w:w="0" w:type="auto"/>
            <w:vMerge w:val="restart"/>
            <w:tcBorders>
              <w:top w:val="nil"/>
              <w:left w:val="single" w:sz="8" w:space="0" w:color="auto"/>
              <w:bottom w:val="single" w:sz="8" w:space="0" w:color="000000"/>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2,134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w:t>
            </w:r>
          </w:p>
        </w:tc>
      </w:tr>
      <w:tr w:rsidR="004744FE" w:rsidTr="00FA05F9">
        <w:trPr>
          <w:trHeight w:val="276"/>
        </w:trPr>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135A87" w:rsidRDefault="00FA05F9" w:rsidP="00FA05F9">
            <w:pPr>
              <w:rPr>
                <w:rFonts w:cs="Arial"/>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r>
      <w:tr w:rsidR="004744FE" w:rsidTr="00FA05F9">
        <w:trPr>
          <w:trHeight w:val="5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 xml:space="preserve">Proportion of older people (65 and over) who were still at home 91 days after discharge from hospital into </w:t>
            </w:r>
            <w:proofErr w:type="spellStart"/>
            <w:r w:rsidRPr="00DC3962">
              <w:rPr>
                <w:rFonts w:cs="Arial"/>
                <w:sz w:val="18"/>
                <w:szCs w:val="18"/>
              </w:rPr>
              <w:t>reablement</w:t>
            </w:r>
            <w:proofErr w:type="spellEnd"/>
            <w:r w:rsidRPr="00DC3962">
              <w:rPr>
                <w:rFonts w:cs="Arial"/>
                <w:sz w:val="18"/>
                <w:szCs w:val="18"/>
              </w:rPr>
              <w:t>/ rehabilitation services (ASCOF) during the period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88.1%</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88.2%</w:t>
            </w:r>
          </w:p>
        </w:tc>
        <w:tc>
          <w:tcPr>
            <w:tcW w:w="0" w:type="auto"/>
            <w:vMerge w:val="restart"/>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rPr>
              <w:t>82.6%</w:t>
            </w:r>
          </w:p>
        </w:tc>
        <w:tc>
          <w:tcPr>
            <w:tcW w:w="0" w:type="auto"/>
            <w:vMerge w:val="restart"/>
            <w:tcBorders>
              <w:top w:val="nil"/>
              <w:left w:val="single" w:sz="8" w:space="0" w:color="auto"/>
              <w:bottom w:val="single" w:sz="8" w:space="0" w:color="000000"/>
              <w:right w:val="single" w:sz="8" w:space="0" w:color="auto"/>
            </w:tcBorders>
            <w:shd w:val="clear" w:color="000000" w:fill="F7CAAC"/>
            <w:vAlign w:val="center"/>
            <w:hideMark/>
          </w:tcPr>
          <w:p w:rsidR="00FA05F9" w:rsidRPr="00135A87" w:rsidRDefault="009B31E1" w:rsidP="00FA05F9">
            <w:pPr>
              <w:jc w:val="center"/>
              <w:rPr>
                <w:rFonts w:cs="Arial"/>
                <w:bCs/>
                <w:sz w:val="18"/>
                <w:szCs w:val="18"/>
              </w:rPr>
            </w:pPr>
            <w:r w:rsidRPr="00135A87">
              <w:rPr>
                <w:rFonts w:cs="Arial"/>
                <w:bCs/>
                <w:sz w:val="18"/>
              </w:rPr>
              <w:t>82</w:t>
            </w:r>
            <w:r w:rsidRPr="00135A87">
              <w:rPr>
                <w:rFonts w:cs="Arial"/>
                <w:bCs/>
                <w:sz w:val="18"/>
                <w:shd w:val="clear" w:color="auto" w:fill="F7CAAC" w:themeFill="accent2" w:themeFillTint="66"/>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Pr>
                <w:rFonts w:cs="Arial"/>
                <w:sz w:val="18"/>
              </w:rPr>
              <w:t>82.9</w:t>
            </w:r>
            <w:r w:rsidRPr="00DC3962">
              <w:rPr>
                <w:rFonts w:cs="Arial"/>
                <w:sz w:val="18"/>
              </w:rPr>
              <w:t>%</w:t>
            </w:r>
          </w:p>
        </w:tc>
      </w:tr>
      <w:tr w:rsidR="004744FE" w:rsidTr="00FA05F9">
        <w:trPr>
          <w:trHeight w:val="450"/>
        </w:trPr>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b/>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r>
      <w:tr w:rsidR="004744FE" w:rsidTr="00FA05F9">
        <w:trPr>
          <w:trHeight w:val="147"/>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Timeliness of assessment and support</w:t>
            </w:r>
          </w:p>
        </w:tc>
      </w:tr>
      <w:tr w:rsidR="004744FE" w:rsidTr="00FA05F9">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Assessments completed within 7 days during the period</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85.1%</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87.6%</w:t>
            </w:r>
          </w:p>
        </w:tc>
        <w:tc>
          <w:tcPr>
            <w:tcW w:w="0" w:type="auto"/>
            <w:tcBorders>
              <w:top w:val="nil"/>
              <w:left w:val="nil"/>
              <w:bottom w:val="single" w:sz="8" w:space="0" w:color="auto"/>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86.5%</w:t>
            </w:r>
          </w:p>
        </w:tc>
        <w:tc>
          <w:tcPr>
            <w:tcW w:w="0" w:type="auto"/>
            <w:tcBorders>
              <w:top w:val="nil"/>
              <w:left w:val="nil"/>
              <w:bottom w:val="single" w:sz="8" w:space="0" w:color="auto"/>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84.2%</w:t>
            </w:r>
          </w:p>
        </w:tc>
        <w:tc>
          <w:tcPr>
            <w:tcW w:w="0" w:type="auto"/>
            <w:tcBorders>
              <w:top w:val="nil"/>
              <w:left w:val="nil"/>
              <w:bottom w:val="single" w:sz="8" w:space="0" w:color="auto"/>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w:t>
            </w:r>
          </w:p>
        </w:tc>
      </w:tr>
      <w:tr w:rsidR="004744FE" w:rsidTr="00FA05F9">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Assessments completed within 28 days during the period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Pr>
                <w:rFonts w:cs="Arial"/>
                <w:sz w:val="18"/>
                <w:szCs w:val="18"/>
              </w:rPr>
              <w:t>95.6</w:t>
            </w:r>
            <w:r w:rsidRPr="00DC3962">
              <w:rPr>
                <w:rFonts w:cs="Arial"/>
                <w:sz w:val="18"/>
                <w:szCs w:val="18"/>
              </w:rPr>
              <w:t>%</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Pr>
                <w:rFonts w:cs="Arial"/>
                <w:sz w:val="18"/>
                <w:szCs w:val="18"/>
              </w:rPr>
              <w:t>96.1</w:t>
            </w:r>
            <w:r w:rsidRPr="00DC3962">
              <w:rPr>
                <w:rFonts w:cs="Arial"/>
                <w:sz w:val="18"/>
                <w:szCs w:val="18"/>
              </w:rPr>
              <w:t>%</w:t>
            </w:r>
          </w:p>
        </w:tc>
        <w:tc>
          <w:tcPr>
            <w:tcW w:w="0" w:type="auto"/>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95.8%</w:t>
            </w:r>
          </w:p>
        </w:tc>
        <w:tc>
          <w:tcPr>
            <w:tcW w:w="0" w:type="auto"/>
            <w:vMerge w:val="restart"/>
            <w:tcBorders>
              <w:top w:val="nil"/>
              <w:left w:val="single" w:sz="8" w:space="0" w:color="auto"/>
              <w:bottom w:val="single" w:sz="8" w:space="0" w:color="000000"/>
              <w:right w:val="single" w:sz="8"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95.3%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w:t>
            </w:r>
          </w:p>
        </w:tc>
      </w:tr>
      <w:tr w:rsidR="004744FE" w:rsidTr="00FA05F9">
        <w:trPr>
          <w:trHeight w:val="276"/>
        </w:trPr>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FA05F9" w:rsidRPr="00DC3962" w:rsidRDefault="00FA05F9" w:rsidP="00FA05F9">
            <w:pPr>
              <w:rPr>
                <w:rFonts w:cs="Arial"/>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135A87" w:rsidRDefault="00FA05F9" w:rsidP="00FA05F9">
            <w:pPr>
              <w:rPr>
                <w:rFonts w:cs="Arial"/>
                <w:bCs/>
                <w:color w:val="FF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A05F9" w:rsidRPr="00DC3962" w:rsidRDefault="00FA05F9" w:rsidP="00FA05F9">
            <w:pPr>
              <w:rPr>
                <w:rFonts w:cs="Arial"/>
                <w:sz w:val="18"/>
                <w:szCs w:val="18"/>
              </w:rPr>
            </w:pPr>
          </w:p>
        </w:tc>
      </w:tr>
      <w:tr w:rsidR="004744FE" w:rsidTr="00FA05F9">
        <w:trPr>
          <w:trHeight w:val="808"/>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lastRenderedPageBreak/>
              <w:t>Delayed transfers of care from hospital (</w:t>
            </w:r>
            <w:proofErr w:type="spellStart"/>
            <w:r w:rsidRPr="00DC3962">
              <w:rPr>
                <w:rFonts w:cs="Arial"/>
                <w:sz w:val="18"/>
                <w:szCs w:val="18"/>
              </w:rPr>
              <w:t>DToC</w:t>
            </w:r>
            <w:proofErr w:type="spellEnd"/>
            <w:r w:rsidRPr="00DC3962">
              <w:rPr>
                <w:rFonts w:cs="Arial"/>
                <w:sz w:val="18"/>
                <w:szCs w:val="18"/>
              </w:rPr>
              <w:t>) – total delayed days due to social care in month as detailed each period</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L</w:t>
            </w:r>
          </w:p>
        </w:tc>
        <w:tc>
          <w:tcPr>
            <w:tcW w:w="0" w:type="auto"/>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szCs w:val="18"/>
              </w:rPr>
              <w:t>1,232 (Mar 18)</w:t>
            </w:r>
          </w:p>
        </w:tc>
        <w:tc>
          <w:tcPr>
            <w:tcW w:w="0" w:type="auto"/>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szCs w:val="18"/>
              </w:rPr>
              <w:t>1,093    (Jun 18)</w:t>
            </w:r>
          </w:p>
        </w:tc>
        <w:tc>
          <w:tcPr>
            <w:tcW w:w="0" w:type="auto"/>
            <w:tcBorders>
              <w:top w:val="nil"/>
              <w:left w:val="nil"/>
              <w:right w:val="single" w:sz="8" w:space="0" w:color="auto"/>
            </w:tcBorders>
            <w:shd w:val="clear" w:color="auto" w:fill="FF0000"/>
            <w:vAlign w:val="center"/>
            <w:hideMark/>
          </w:tcPr>
          <w:p w:rsidR="00FA05F9" w:rsidRPr="00D45CA5" w:rsidRDefault="009B31E1" w:rsidP="00FA05F9">
            <w:pPr>
              <w:jc w:val="center"/>
              <w:rPr>
                <w:rFonts w:cs="Arial"/>
                <w:color w:val="FFFFFF" w:themeColor="background1"/>
                <w:sz w:val="18"/>
                <w:szCs w:val="18"/>
              </w:rPr>
            </w:pPr>
            <w:r w:rsidRPr="00D45CA5">
              <w:rPr>
                <w:rFonts w:cs="Arial"/>
                <w:color w:val="FFFFFF" w:themeColor="background1"/>
                <w:sz w:val="18"/>
              </w:rPr>
              <w:t>1,958</w:t>
            </w:r>
          </w:p>
          <w:p w:rsidR="00FA05F9" w:rsidRPr="00DC3962" w:rsidRDefault="009B31E1" w:rsidP="00FA05F9">
            <w:pPr>
              <w:jc w:val="center"/>
              <w:rPr>
                <w:rFonts w:cs="Arial"/>
                <w:sz w:val="18"/>
                <w:szCs w:val="18"/>
              </w:rPr>
            </w:pPr>
            <w:r>
              <w:rPr>
                <w:rFonts w:cs="Arial"/>
                <w:color w:val="FFFFFF" w:themeColor="background1"/>
                <w:sz w:val="18"/>
                <w:szCs w:val="18"/>
              </w:rPr>
              <w:t xml:space="preserve">(Mar </w:t>
            </w:r>
            <w:r w:rsidRPr="00D45CA5">
              <w:rPr>
                <w:rFonts w:cs="Arial"/>
                <w:color w:val="FFFFFF" w:themeColor="background1"/>
                <w:sz w:val="18"/>
                <w:szCs w:val="18"/>
              </w:rPr>
              <w:t>19)</w:t>
            </w:r>
          </w:p>
        </w:tc>
        <w:tc>
          <w:tcPr>
            <w:tcW w:w="0" w:type="auto"/>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FA05F9" w:rsidRPr="00135A87" w:rsidRDefault="009B31E1" w:rsidP="00FA05F9">
            <w:pPr>
              <w:jc w:val="center"/>
              <w:rPr>
                <w:rFonts w:cs="Arial"/>
                <w:bCs/>
                <w:color w:val="FFFFFF"/>
                <w:sz w:val="18"/>
                <w:szCs w:val="18"/>
              </w:rPr>
            </w:pPr>
            <w:r w:rsidRPr="00135A87">
              <w:rPr>
                <w:rFonts w:cs="Arial"/>
                <w:bCs/>
                <w:sz w:val="18"/>
              </w:rPr>
              <w:t>1,442    (Jun 19)</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w:t>
            </w:r>
          </w:p>
        </w:tc>
      </w:tr>
      <w:tr w:rsidR="004744FE" w:rsidTr="00FA05F9">
        <w:trPr>
          <w:trHeight w:val="65"/>
        </w:trPr>
        <w:tc>
          <w:tcPr>
            <w:tcW w:w="0" w:type="auto"/>
            <w:gridSpan w:val="7"/>
            <w:tcBorders>
              <w:top w:val="single" w:sz="8" w:space="0" w:color="auto"/>
              <w:left w:val="single" w:sz="8" w:space="0" w:color="auto"/>
              <w:bottom w:val="single" w:sz="4" w:space="0" w:color="auto"/>
              <w:right w:val="single" w:sz="8" w:space="0" w:color="000000"/>
            </w:tcBorders>
            <w:shd w:val="clear" w:color="000000" w:fill="F2F2F2"/>
            <w:vAlign w:val="center"/>
            <w:hideMark/>
          </w:tcPr>
          <w:p w:rsidR="00FA05F9" w:rsidRPr="00DC3962" w:rsidRDefault="009B31E1" w:rsidP="00FA05F9">
            <w:pPr>
              <w:rPr>
                <w:rFonts w:cs="Arial"/>
                <w:b/>
                <w:bCs/>
                <w:sz w:val="18"/>
                <w:szCs w:val="18"/>
              </w:rPr>
            </w:pPr>
            <w:r w:rsidRPr="00DC3962">
              <w:rPr>
                <w:rFonts w:cs="Arial"/>
                <w:b/>
                <w:bCs/>
                <w:sz w:val="18"/>
                <w:szCs w:val="18"/>
              </w:rPr>
              <w:t>Quality of services</w:t>
            </w:r>
          </w:p>
        </w:tc>
      </w:tr>
      <w:tr w:rsidR="004744FE" w:rsidTr="00FA05F9">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Care Quality Commission (CQC) – Care Home ratings good/outstanding snapshot as at period end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sidRPr="00DC3962">
              <w:rPr>
                <w:rFonts w:cs="Arial"/>
                <w:sz w:val="18"/>
                <w:szCs w:val="18"/>
              </w:rPr>
              <w:t>75.9%</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A05F9" w:rsidRPr="00DC3962" w:rsidRDefault="009B31E1" w:rsidP="00FA05F9">
            <w:pPr>
              <w:jc w:val="center"/>
              <w:rPr>
                <w:rFonts w:cs="Arial"/>
                <w:sz w:val="18"/>
                <w:szCs w:val="18"/>
              </w:rPr>
            </w:pPr>
            <w:r>
              <w:rPr>
                <w:rFonts w:cs="Arial"/>
                <w:sz w:val="18"/>
                <w:szCs w:val="18"/>
              </w:rPr>
              <w:t>78.8%</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83.1%</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05F9" w:rsidRPr="00135A87" w:rsidRDefault="009B31E1" w:rsidP="00FA05F9">
            <w:pPr>
              <w:jc w:val="center"/>
              <w:rPr>
                <w:rFonts w:cs="Arial"/>
                <w:bCs/>
                <w:sz w:val="18"/>
                <w:szCs w:val="18"/>
              </w:rPr>
            </w:pPr>
            <w:r w:rsidRPr="00135A87">
              <w:rPr>
                <w:rFonts w:cs="Arial"/>
                <w:bCs/>
                <w:sz w:val="18"/>
              </w:rPr>
              <w:t>82.5%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82.</w:t>
            </w:r>
            <w:r>
              <w:rPr>
                <w:rFonts w:cs="Arial"/>
                <w:sz w:val="18"/>
              </w:rPr>
              <w:t>5</w:t>
            </w:r>
            <w:r w:rsidRPr="00DC3962">
              <w:rPr>
                <w:rFonts w:cs="Arial"/>
                <w:sz w:val="18"/>
              </w:rPr>
              <w:t>%</w:t>
            </w:r>
          </w:p>
        </w:tc>
      </w:tr>
      <w:tr w:rsidR="004744FE" w:rsidTr="00FA05F9">
        <w:trPr>
          <w:trHeight w:val="3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rPr>
                <w:rFonts w:cs="Arial"/>
                <w:sz w:val="18"/>
                <w:szCs w:val="18"/>
              </w:rPr>
            </w:pPr>
            <w:r w:rsidRPr="00DC3962">
              <w:rPr>
                <w:rFonts w:cs="Arial"/>
                <w:sz w:val="18"/>
                <w:szCs w:val="18"/>
              </w:rPr>
              <w:t>CQC Community Care Service ratings snapshot as at period end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szCs w:val="18"/>
              </w:rPr>
              <w:t>H</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szCs w:val="18"/>
              </w:rPr>
              <w:t>91.0%</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Pr>
                <w:rFonts w:cs="Arial"/>
                <w:sz w:val="18"/>
                <w:szCs w:val="18"/>
              </w:rPr>
              <w:t>92.8%</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05F9" w:rsidRPr="00DC3962" w:rsidRDefault="009B31E1" w:rsidP="00FA05F9">
            <w:pPr>
              <w:jc w:val="center"/>
              <w:rPr>
                <w:rFonts w:cs="Arial"/>
                <w:sz w:val="18"/>
                <w:szCs w:val="18"/>
              </w:rPr>
            </w:pPr>
            <w:r w:rsidRPr="00DC3962">
              <w:rPr>
                <w:rFonts w:cs="Arial"/>
                <w:sz w:val="18"/>
              </w:rPr>
              <w:t>94.5%</w:t>
            </w:r>
          </w:p>
        </w:tc>
        <w:tc>
          <w:tcPr>
            <w:tcW w:w="0" w:type="auto"/>
            <w:tcBorders>
              <w:top w:val="single" w:sz="4" w:space="0" w:color="auto"/>
              <w:left w:val="single" w:sz="4" w:space="0" w:color="auto"/>
              <w:bottom w:val="single" w:sz="4" w:space="0" w:color="auto"/>
              <w:right w:val="single" w:sz="4" w:space="0" w:color="auto"/>
            </w:tcBorders>
            <w:shd w:val="clear" w:color="000000" w:fill="C5E0B3"/>
            <w:vAlign w:val="center"/>
            <w:hideMark/>
          </w:tcPr>
          <w:p w:rsidR="00FA05F9" w:rsidRPr="00135A87" w:rsidRDefault="009B31E1" w:rsidP="00FA05F9">
            <w:pPr>
              <w:jc w:val="center"/>
              <w:rPr>
                <w:rFonts w:cs="Arial"/>
                <w:bCs/>
                <w:sz w:val="18"/>
                <w:szCs w:val="18"/>
              </w:rPr>
            </w:pPr>
            <w:r w:rsidRPr="00135A87">
              <w:rPr>
                <w:rFonts w:cs="Arial"/>
                <w:bCs/>
                <w:sz w:val="18"/>
              </w:rPr>
              <w:t>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05F9" w:rsidRPr="00DC3962" w:rsidRDefault="009B31E1" w:rsidP="00FA05F9">
            <w:pPr>
              <w:jc w:val="center"/>
              <w:rPr>
                <w:rFonts w:cs="Arial"/>
                <w:sz w:val="18"/>
                <w:szCs w:val="18"/>
              </w:rPr>
            </w:pPr>
            <w:r w:rsidRPr="00DC3962">
              <w:rPr>
                <w:rFonts w:cs="Arial"/>
                <w:sz w:val="18"/>
              </w:rPr>
              <w:t>87.</w:t>
            </w:r>
            <w:r>
              <w:rPr>
                <w:rFonts w:cs="Arial"/>
                <w:sz w:val="18"/>
              </w:rPr>
              <w:t>0</w:t>
            </w:r>
            <w:r w:rsidRPr="00DC3962">
              <w:rPr>
                <w:rFonts w:cs="Arial"/>
                <w:sz w:val="18"/>
              </w:rPr>
              <w:t>%</w:t>
            </w:r>
          </w:p>
        </w:tc>
      </w:tr>
    </w:tbl>
    <w:p w:rsidR="00FA05F9" w:rsidRDefault="00FA05F9" w:rsidP="00FA05F9">
      <w:pPr>
        <w:pStyle w:val="NoSpacing"/>
        <w:rPr>
          <w:i/>
          <w:sz w:val="18"/>
          <w:szCs w:val="18"/>
        </w:rPr>
      </w:pPr>
    </w:p>
    <w:p w:rsidR="00FA05F9" w:rsidRPr="00F16BC4" w:rsidRDefault="00FA05F9" w:rsidP="00FA05F9">
      <w:pPr>
        <w:pStyle w:val="NoSpacing"/>
      </w:pPr>
    </w:p>
    <w:p w:rsidR="00FA05F9" w:rsidRDefault="009B31E1" w:rsidP="00FA05F9">
      <w:pPr>
        <w:contextualSpacing/>
        <w:rPr>
          <w:rFonts w:eastAsiaTheme="minorHAnsi" w:cs="Arial"/>
          <w:i/>
          <w:szCs w:val="24"/>
          <w:lang w:eastAsia="en-US"/>
        </w:rPr>
      </w:pPr>
      <w:r w:rsidRPr="00D45CA5">
        <w:rPr>
          <w:rFonts w:eastAsiaTheme="minorHAnsi" w:cs="Arial"/>
          <w:i/>
          <w:szCs w:val="24"/>
          <w:lang w:eastAsia="en-US"/>
        </w:rPr>
        <w:t xml:space="preserve">Adult social care </w:t>
      </w:r>
      <w:r w:rsidR="00227E42">
        <w:rPr>
          <w:rFonts w:eastAsiaTheme="minorHAnsi" w:cs="Arial"/>
          <w:i/>
          <w:szCs w:val="24"/>
          <w:lang w:eastAsia="en-US"/>
        </w:rPr>
        <w:t>–</w:t>
      </w:r>
      <w:r w:rsidRPr="00D45CA5">
        <w:rPr>
          <w:rFonts w:eastAsiaTheme="minorHAnsi" w:cs="Arial"/>
          <w:i/>
          <w:szCs w:val="24"/>
          <w:lang w:eastAsia="en-US"/>
        </w:rPr>
        <w:t xml:space="preserve"> personalisation</w:t>
      </w:r>
    </w:p>
    <w:p w:rsidR="00227E42" w:rsidRPr="00D45CA5" w:rsidRDefault="00227E42" w:rsidP="00FA05F9">
      <w:pPr>
        <w:contextualSpacing/>
        <w:rPr>
          <w:rFonts w:eastAsiaTheme="minorHAnsi" w:cs="Arial"/>
          <w:i/>
          <w:szCs w:val="24"/>
          <w:lang w:eastAsia="en-US"/>
        </w:rPr>
      </w:pPr>
    </w:p>
    <w:p w:rsidR="00FA05F9" w:rsidRPr="00D45CA5" w:rsidRDefault="009B31E1" w:rsidP="00FA05F9">
      <w:pPr>
        <w:pStyle w:val="NoSpacing"/>
        <w:jc w:val="both"/>
        <w:rPr>
          <w:rFonts w:ascii="Arial" w:hAnsi="Arial" w:cs="Arial"/>
          <w:sz w:val="24"/>
          <w:szCs w:val="24"/>
        </w:rPr>
      </w:pPr>
      <w:r w:rsidRPr="00D45CA5">
        <w:rPr>
          <w:rFonts w:ascii="Arial" w:hAnsi="Arial" w:cs="Arial"/>
          <w:sz w:val="24"/>
          <w:szCs w:val="24"/>
        </w:rPr>
        <w:t>There is a further incr</w:t>
      </w:r>
      <w:r>
        <w:rPr>
          <w:rFonts w:ascii="Arial" w:hAnsi="Arial" w:cs="Arial"/>
          <w:sz w:val="24"/>
          <w:szCs w:val="24"/>
        </w:rPr>
        <w:t>ease in the proportion of adult social care service users</w:t>
      </w:r>
      <w:r w:rsidRPr="00D45CA5">
        <w:rPr>
          <w:rFonts w:ascii="Arial" w:hAnsi="Arial" w:cs="Arial"/>
          <w:sz w:val="24"/>
          <w:szCs w:val="24"/>
        </w:rPr>
        <w:t xml:space="preserve"> receiving direct payments, which keeps Lancashire higher than the national average. This increase is primarily due to service users choosing to take direct payments when their home care provision was reviewed, and this improvement should be sustainable</w:t>
      </w:r>
      <w:r>
        <w:rPr>
          <w:rFonts w:ascii="Arial" w:hAnsi="Arial" w:cs="Arial"/>
          <w:sz w:val="24"/>
          <w:szCs w:val="24"/>
        </w:rPr>
        <w:t xml:space="preserve">. We had anticipated this trend because the continuity of relationships is important to people receiving our services and therefore many would wish to remain with their previous provider. </w:t>
      </w:r>
      <w:r w:rsidRPr="00D45CA5">
        <w:rPr>
          <w:rFonts w:ascii="Arial" w:hAnsi="Arial" w:cs="Arial"/>
          <w:sz w:val="24"/>
          <w:szCs w:val="24"/>
        </w:rPr>
        <w:t>Direct payments allow people to choose their own provider of services, rather than receiving services from a provider commissioned by the Local Authority.</w:t>
      </w:r>
    </w:p>
    <w:p w:rsidR="00FA05F9" w:rsidRPr="00D45CA5" w:rsidRDefault="00FA05F9" w:rsidP="00FA05F9">
      <w:pPr>
        <w:contextualSpacing/>
        <w:rPr>
          <w:rFonts w:cs="Arial"/>
          <w:szCs w:val="24"/>
        </w:rPr>
      </w:pPr>
    </w:p>
    <w:p w:rsidR="00FA05F9" w:rsidRDefault="009B31E1" w:rsidP="00FA05F9">
      <w:pPr>
        <w:contextualSpacing/>
        <w:rPr>
          <w:rFonts w:eastAsiaTheme="minorHAnsi" w:cs="Arial"/>
          <w:i/>
          <w:szCs w:val="24"/>
          <w:lang w:eastAsia="en-US"/>
        </w:rPr>
      </w:pPr>
      <w:r w:rsidRPr="00D45CA5">
        <w:rPr>
          <w:rFonts w:eastAsiaTheme="minorHAnsi" w:cs="Arial"/>
          <w:i/>
          <w:szCs w:val="24"/>
          <w:lang w:eastAsia="en-US"/>
        </w:rPr>
        <w:t>Support for people to remain independent</w:t>
      </w:r>
    </w:p>
    <w:p w:rsidR="00227E42" w:rsidRPr="00D45CA5" w:rsidRDefault="00227E42" w:rsidP="00FA05F9">
      <w:pPr>
        <w:contextualSpacing/>
        <w:rPr>
          <w:rFonts w:cs="Arial"/>
          <w:szCs w:val="24"/>
        </w:rPr>
      </w:pPr>
    </w:p>
    <w:p w:rsidR="00FA05F9" w:rsidRPr="00D45CA5" w:rsidRDefault="009B31E1" w:rsidP="00FA05F9">
      <w:pPr>
        <w:pStyle w:val="NoSpacing"/>
        <w:jc w:val="both"/>
        <w:rPr>
          <w:rFonts w:ascii="Arial" w:hAnsi="Arial" w:cs="Arial"/>
          <w:sz w:val="24"/>
          <w:szCs w:val="24"/>
        </w:rPr>
      </w:pPr>
      <w:r w:rsidRPr="00D45CA5">
        <w:rPr>
          <w:rFonts w:ascii="Arial" w:hAnsi="Arial" w:cs="Arial"/>
          <w:sz w:val="24"/>
          <w:szCs w:val="24"/>
        </w:rPr>
        <w:t xml:space="preserve">The focus on maximising people's independence continues to be demonstrated by the number of people who are receiving </w:t>
      </w:r>
      <w:proofErr w:type="spellStart"/>
      <w:r w:rsidRPr="00D45CA5">
        <w:rPr>
          <w:rFonts w:ascii="Arial" w:hAnsi="Arial" w:cs="Arial"/>
          <w:sz w:val="24"/>
          <w:szCs w:val="24"/>
        </w:rPr>
        <w:t>reablement</w:t>
      </w:r>
      <w:proofErr w:type="spellEnd"/>
      <w:r w:rsidRPr="00D45CA5">
        <w:rPr>
          <w:rFonts w:ascii="Arial" w:hAnsi="Arial" w:cs="Arial"/>
          <w:sz w:val="24"/>
          <w:szCs w:val="24"/>
        </w:rPr>
        <w:t xml:space="preserve"> and its effectiveness. We are now starting to see an improvement too in the decreasing proportion of requests for support from new clients who were then given long term support community based services. However, we are still providing too much ongoing long term support and are not signposting sufficiently to universal services.</w:t>
      </w:r>
    </w:p>
    <w:p w:rsidR="00FA05F9" w:rsidRPr="00D45CA5" w:rsidRDefault="00FA05F9" w:rsidP="00FA05F9">
      <w:pPr>
        <w:pStyle w:val="NoSpacing"/>
        <w:jc w:val="both"/>
        <w:rPr>
          <w:rFonts w:ascii="Arial" w:hAnsi="Arial" w:cs="Arial"/>
          <w:sz w:val="24"/>
          <w:szCs w:val="24"/>
        </w:rPr>
      </w:pPr>
    </w:p>
    <w:p w:rsidR="00FA05F9" w:rsidRPr="00D45CA5" w:rsidRDefault="009B31E1" w:rsidP="00FA05F9">
      <w:pPr>
        <w:jc w:val="both"/>
        <w:rPr>
          <w:rFonts w:cs="Arial"/>
          <w:szCs w:val="24"/>
        </w:rPr>
      </w:pPr>
      <w:r w:rsidRPr="00D45CA5">
        <w:rPr>
          <w:rFonts w:cs="Arial"/>
          <w:szCs w:val="24"/>
        </w:rPr>
        <w:t xml:space="preserve">There has been a gradual reduction in the number of adults and older people admitted to residential care, but concerns still remain about the medium term level of admissions. </w:t>
      </w:r>
      <w:r>
        <w:rPr>
          <w:rFonts w:cs="Arial"/>
          <w:szCs w:val="24"/>
        </w:rPr>
        <w:t xml:space="preserve">This measure includes only those people funded by the local authority. Lower scores will be achieved by local authorities where a high proportion of people are responsible for funding their own residential care, and this will be one factor which helps to explain the considerable regional variation across England. </w:t>
      </w:r>
      <w:r w:rsidRPr="00D45CA5">
        <w:rPr>
          <w:rFonts w:cs="Arial"/>
          <w:szCs w:val="24"/>
        </w:rPr>
        <w:t xml:space="preserve">Residential care admission rates across the North West are generally significantly higher than the national average, and this suggests </w:t>
      </w:r>
      <w:r>
        <w:rPr>
          <w:rFonts w:cs="Arial"/>
          <w:szCs w:val="24"/>
        </w:rPr>
        <w:t xml:space="preserve">that </w:t>
      </w:r>
      <w:r w:rsidRPr="00D45CA5">
        <w:rPr>
          <w:rFonts w:cs="Arial"/>
          <w:szCs w:val="24"/>
        </w:rPr>
        <w:t>this is a strategic commissioning challenge the whole N</w:t>
      </w:r>
      <w:r w:rsidR="00227E42">
        <w:rPr>
          <w:rFonts w:cs="Arial"/>
          <w:szCs w:val="24"/>
        </w:rPr>
        <w:t xml:space="preserve">orth </w:t>
      </w:r>
      <w:r w:rsidRPr="00D45CA5">
        <w:rPr>
          <w:rFonts w:cs="Arial"/>
          <w:szCs w:val="24"/>
        </w:rPr>
        <w:t>W</w:t>
      </w:r>
      <w:r w:rsidR="00227E42">
        <w:rPr>
          <w:rFonts w:cs="Arial"/>
          <w:szCs w:val="24"/>
        </w:rPr>
        <w:t>est</w:t>
      </w:r>
      <w:r w:rsidRPr="00D45CA5">
        <w:rPr>
          <w:rFonts w:cs="Arial"/>
          <w:szCs w:val="24"/>
        </w:rPr>
        <w:t xml:space="preserve"> region must address. We are therefore committed to working with colleagues to bring in additional expertise to address the concerns as part of N</w:t>
      </w:r>
      <w:r w:rsidR="00227E42">
        <w:rPr>
          <w:rFonts w:cs="Arial"/>
          <w:szCs w:val="24"/>
        </w:rPr>
        <w:t xml:space="preserve">orth </w:t>
      </w:r>
      <w:r w:rsidRPr="00D45CA5">
        <w:rPr>
          <w:rFonts w:cs="Arial"/>
          <w:szCs w:val="24"/>
        </w:rPr>
        <w:t>W</w:t>
      </w:r>
      <w:r w:rsidR="00227E42">
        <w:rPr>
          <w:rFonts w:cs="Arial"/>
          <w:szCs w:val="24"/>
        </w:rPr>
        <w:t>est A</w:t>
      </w:r>
      <w:r>
        <w:rPr>
          <w:rFonts w:cs="Arial"/>
          <w:szCs w:val="24"/>
        </w:rPr>
        <w:t xml:space="preserve">ssociation of Directors of </w:t>
      </w:r>
      <w:r w:rsidRPr="00D45CA5">
        <w:rPr>
          <w:rFonts w:cs="Arial"/>
          <w:szCs w:val="24"/>
        </w:rPr>
        <w:t>A</w:t>
      </w:r>
      <w:r>
        <w:rPr>
          <w:rFonts w:cs="Arial"/>
          <w:szCs w:val="24"/>
        </w:rPr>
        <w:t xml:space="preserve">dult </w:t>
      </w:r>
      <w:r w:rsidRPr="00D45CA5">
        <w:rPr>
          <w:rFonts w:cs="Arial"/>
          <w:szCs w:val="24"/>
        </w:rPr>
        <w:t>S</w:t>
      </w:r>
      <w:r>
        <w:rPr>
          <w:rFonts w:cs="Arial"/>
          <w:szCs w:val="24"/>
        </w:rPr>
        <w:t xml:space="preserve">ocial </w:t>
      </w:r>
      <w:r w:rsidRPr="00D45CA5">
        <w:rPr>
          <w:rFonts w:cs="Arial"/>
          <w:szCs w:val="24"/>
        </w:rPr>
        <w:t>S</w:t>
      </w:r>
      <w:r>
        <w:rPr>
          <w:rFonts w:cs="Arial"/>
          <w:szCs w:val="24"/>
        </w:rPr>
        <w:t>ervices</w:t>
      </w:r>
      <w:r w:rsidRPr="00D45CA5">
        <w:rPr>
          <w:rFonts w:cs="Arial"/>
          <w:szCs w:val="24"/>
        </w:rPr>
        <w:t xml:space="preserve"> Sector Led Improvement work. Lancashire's own admission rate is itself considerably higher than the national average, and so it is a key service challenge for us to address the causes of this high rate and drive sustained improvement by learning from other Councils and from testing different approaches and specific measures. Targets have been set for these improvements over the next 4 years, which will also deliver significant financial savings. However not all the necessary measures are yet in place to ensure improvements are sustainable, and the admission rates may also have some in year seasonal fluctuations that will mask the scale and even the direction of chan</w:t>
      </w:r>
      <w:r>
        <w:rPr>
          <w:rFonts w:cs="Arial"/>
          <w:szCs w:val="24"/>
        </w:rPr>
        <w:t xml:space="preserve">ge over the medium to long </w:t>
      </w:r>
      <w:proofErr w:type="gramStart"/>
      <w:r>
        <w:rPr>
          <w:rFonts w:cs="Arial"/>
          <w:szCs w:val="24"/>
        </w:rPr>
        <w:t>term.</w:t>
      </w:r>
      <w:proofErr w:type="gramEnd"/>
    </w:p>
    <w:p w:rsidR="00FA05F9" w:rsidRPr="00D45CA5" w:rsidRDefault="00FA05F9" w:rsidP="00FA05F9">
      <w:pPr>
        <w:pStyle w:val="NoSpacing"/>
        <w:jc w:val="both"/>
        <w:rPr>
          <w:rFonts w:ascii="Arial" w:hAnsi="Arial" w:cs="Arial"/>
          <w:sz w:val="24"/>
          <w:szCs w:val="24"/>
        </w:rPr>
      </w:pPr>
    </w:p>
    <w:p w:rsidR="00FA05F9" w:rsidRDefault="009B31E1" w:rsidP="00227E42">
      <w:pPr>
        <w:jc w:val="both"/>
      </w:pPr>
      <w:r w:rsidRPr="00D45CA5">
        <w:rPr>
          <w:rFonts w:cs="Arial"/>
          <w:szCs w:val="24"/>
        </w:rPr>
        <w:lastRenderedPageBreak/>
        <w:t xml:space="preserve">The number of people waiting for </w:t>
      </w:r>
      <w:r>
        <w:rPr>
          <w:rFonts w:cs="Arial"/>
          <w:szCs w:val="24"/>
        </w:rPr>
        <w:t xml:space="preserve">Occupational Therapy </w:t>
      </w:r>
      <w:r w:rsidRPr="00D45CA5">
        <w:rPr>
          <w:rFonts w:cs="Arial"/>
          <w:szCs w:val="24"/>
        </w:rPr>
        <w:t>assessments shows a slight increase from the 2018/19 year end position, although is signifi</w:t>
      </w:r>
      <w:r>
        <w:rPr>
          <w:rFonts w:cs="Arial"/>
          <w:szCs w:val="24"/>
        </w:rPr>
        <w:t>cantly improved on the 2018/19 q</w:t>
      </w:r>
      <w:r w:rsidRPr="00D45CA5">
        <w:rPr>
          <w:rFonts w:cs="Arial"/>
          <w:szCs w:val="24"/>
        </w:rPr>
        <w:t xml:space="preserve">uarter 1 performance. </w:t>
      </w:r>
      <w:r w:rsidRPr="00D45CA5">
        <w:t xml:space="preserve">The numbers of service users waiting for an </w:t>
      </w:r>
      <w:r>
        <w:t>O</w:t>
      </w:r>
      <w:r w:rsidR="00227E42">
        <w:t xml:space="preserve">ccupational </w:t>
      </w:r>
      <w:r>
        <w:t>T</w:t>
      </w:r>
      <w:r w:rsidR="00227E42">
        <w:t>herapy</w:t>
      </w:r>
      <w:r w:rsidRPr="00D45CA5">
        <w:t xml:space="preserve"> assessment has increased by </w:t>
      </w:r>
      <w:r w:rsidRPr="00D45CA5">
        <w:rPr>
          <w:bCs/>
        </w:rPr>
        <w:t>68</w:t>
      </w:r>
      <w:r>
        <w:t xml:space="preserve"> from the end of quarter </w:t>
      </w:r>
      <w:r w:rsidRPr="00D45CA5">
        <w:t xml:space="preserve">4 last year </w:t>
      </w:r>
      <w:r w:rsidRPr="00D45CA5">
        <w:rPr>
          <w:bCs/>
        </w:rPr>
        <w:t>(398 to 466</w:t>
      </w:r>
      <w:r w:rsidRPr="00D45CA5">
        <w:t>), but ha</w:t>
      </w:r>
      <w:r>
        <w:t>s decreased by 674 against the q</w:t>
      </w:r>
      <w:r w:rsidRPr="00D45CA5">
        <w:t>uarter 1 comparable (1140 to 466).</w:t>
      </w:r>
    </w:p>
    <w:p w:rsidR="00FA05F9" w:rsidRDefault="009B31E1" w:rsidP="00227E42">
      <w:pPr>
        <w:jc w:val="both"/>
      </w:pPr>
      <w:r w:rsidRPr="00D45CA5">
        <w:t xml:space="preserve"> </w:t>
      </w:r>
    </w:p>
    <w:p w:rsidR="00FA05F9" w:rsidRPr="003D49EC" w:rsidRDefault="009B31E1" w:rsidP="00227E42">
      <w:pPr>
        <w:jc w:val="both"/>
        <w:rPr>
          <w:rFonts w:cs="Arial"/>
          <w:szCs w:val="24"/>
        </w:rPr>
      </w:pPr>
      <w:r w:rsidRPr="00D45CA5">
        <w:t>This means waiting times are much lower than in previous years and are well managed and likely to reduce further. All urgent referrals are seen within 7 working days (or less in some cases) and are often associated with hospital discharge, hospital avoidance or end of life care. High priority assessments are now typically completed within 10 weeks, and for other assessment</w:t>
      </w:r>
      <w:r>
        <w:t>s</w:t>
      </w:r>
      <w:r w:rsidRPr="00D45CA5">
        <w:t xml:space="preserve"> the lengthiest wait is around 16 weeks</w:t>
      </w:r>
      <w:r>
        <w:rPr>
          <w:rFonts w:cs="Arial"/>
          <w:szCs w:val="24"/>
        </w:rPr>
        <w:t>, although there is some variation across our areas and detailed work is under way to bring all teams to the same standard of performance.</w:t>
      </w:r>
      <w:r w:rsidRPr="00D45CA5">
        <w:t xml:space="preserve"> </w:t>
      </w:r>
    </w:p>
    <w:p w:rsidR="00FA05F9" w:rsidRPr="00D45CA5" w:rsidRDefault="00FA05F9" w:rsidP="00227E42">
      <w:pPr>
        <w:contextualSpacing/>
        <w:jc w:val="both"/>
        <w:rPr>
          <w:rFonts w:cs="Arial"/>
          <w:szCs w:val="24"/>
        </w:rPr>
      </w:pPr>
    </w:p>
    <w:p w:rsidR="00FA05F9" w:rsidRDefault="009B31E1" w:rsidP="00227E42">
      <w:pPr>
        <w:contextualSpacing/>
        <w:jc w:val="both"/>
        <w:rPr>
          <w:rFonts w:eastAsiaTheme="minorHAnsi" w:cs="Arial"/>
          <w:i/>
          <w:szCs w:val="24"/>
          <w:lang w:eastAsia="en-US"/>
        </w:rPr>
      </w:pPr>
      <w:r w:rsidRPr="00D45CA5">
        <w:rPr>
          <w:rFonts w:eastAsiaTheme="minorHAnsi" w:cs="Arial"/>
          <w:i/>
          <w:szCs w:val="24"/>
          <w:lang w:eastAsia="en-US"/>
        </w:rPr>
        <w:t>Timeliness of assessments and support</w:t>
      </w:r>
    </w:p>
    <w:p w:rsidR="00227E42" w:rsidRPr="00D45CA5" w:rsidRDefault="00227E42" w:rsidP="00227E42">
      <w:pPr>
        <w:contextualSpacing/>
        <w:jc w:val="both"/>
        <w:rPr>
          <w:rFonts w:cs="Arial"/>
          <w:szCs w:val="24"/>
        </w:rPr>
      </w:pPr>
    </w:p>
    <w:p w:rsidR="00FA05F9" w:rsidRPr="00D45CA5" w:rsidRDefault="009B31E1" w:rsidP="00227E42">
      <w:pPr>
        <w:pStyle w:val="NoSpacing"/>
        <w:jc w:val="both"/>
        <w:rPr>
          <w:rFonts w:ascii="Arial" w:hAnsi="Arial" w:cs="Arial"/>
          <w:sz w:val="24"/>
          <w:szCs w:val="24"/>
        </w:rPr>
      </w:pPr>
      <w:r w:rsidRPr="00D45CA5">
        <w:rPr>
          <w:rFonts w:ascii="Arial" w:hAnsi="Arial" w:cs="Arial"/>
          <w:sz w:val="24"/>
          <w:szCs w:val="24"/>
        </w:rPr>
        <w:t xml:space="preserve">Nearly 96% of social work assessments were completed within 4 weeks and that is the indicator that will reflect the experience of the public.  </w:t>
      </w:r>
    </w:p>
    <w:p w:rsidR="00FA05F9" w:rsidRPr="00D45CA5" w:rsidRDefault="00FA05F9" w:rsidP="00227E42">
      <w:pPr>
        <w:pStyle w:val="NoSpacing"/>
        <w:jc w:val="both"/>
        <w:rPr>
          <w:rFonts w:ascii="Arial" w:hAnsi="Arial" w:cs="Arial"/>
          <w:sz w:val="24"/>
          <w:szCs w:val="24"/>
        </w:rPr>
      </w:pPr>
    </w:p>
    <w:p w:rsidR="00FA05F9" w:rsidRPr="00D45CA5" w:rsidRDefault="009B31E1" w:rsidP="00227E42">
      <w:pPr>
        <w:pStyle w:val="NoSpacing"/>
        <w:jc w:val="both"/>
        <w:rPr>
          <w:rFonts w:ascii="Arial" w:hAnsi="Arial" w:cs="Arial"/>
          <w:sz w:val="24"/>
          <w:szCs w:val="24"/>
        </w:rPr>
      </w:pPr>
      <w:r w:rsidRPr="00D45CA5">
        <w:rPr>
          <w:rFonts w:ascii="Arial" w:hAnsi="Arial" w:cs="Arial"/>
          <w:sz w:val="24"/>
          <w:szCs w:val="24"/>
        </w:rPr>
        <w:t>There are still currently around 1</w:t>
      </w:r>
      <w:r>
        <w:rPr>
          <w:rFonts w:ascii="Arial" w:hAnsi="Arial" w:cs="Arial"/>
          <w:sz w:val="24"/>
          <w:szCs w:val="24"/>
        </w:rPr>
        <w:t>,</w:t>
      </w:r>
      <w:r w:rsidRPr="00D45CA5">
        <w:rPr>
          <w:rFonts w:ascii="Arial" w:hAnsi="Arial" w:cs="Arial"/>
          <w:sz w:val="24"/>
          <w:szCs w:val="24"/>
        </w:rPr>
        <w:t>300 people waiting for older people social work assessments</w:t>
      </w:r>
      <w:r w:rsidR="00227E42">
        <w:rPr>
          <w:rFonts w:ascii="Arial" w:hAnsi="Arial" w:cs="Arial"/>
          <w:sz w:val="24"/>
          <w:szCs w:val="24"/>
        </w:rPr>
        <w:t>,</w:t>
      </w:r>
      <w:r w:rsidRPr="00D45CA5">
        <w:rPr>
          <w:rFonts w:ascii="Arial" w:hAnsi="Arial" w:cs="Arial"/>
          <w:sz w:val="24"/>
          <w:szCs w:val="24"/>
        </w:rPr>
        <w:t xml:space="preserve"> and this figure is remaining fairly steady and this is much harder to shift sustainably downwards towards the figure of 522, as suggested by Newton Europe within the Passport to Independence calculations. However, a close inspection of the 1299 people waiting </w:t>
      </w:r>
      <w:r>
        <w:rPr>
          <w:rFonts w:ascii="Arial" w:hAnsi="Arial" w:cs="Arial"/>
          <w:sz w:val="24"/>
          <w:szCs w:val="24"/>
        </w:rPr>
        <w:t xml:space="preserve">as </w:t>
      </w:r>
      <w:r w:rsidRPr="00D45CA5">
        <w:rPr>
          <w:rFonts w:ascii="Arial" w:hAnsi="Arial" w:cs="Arial"/>
          <w:sz w:val="24"/>
          <w:szCs w:val="24"/>
        </w:rPr>
        <w:t>at 5</w:t>
      </w:r>
      <w:r>
        <w:rPr>
          <w:rFonts w:ascii="Arial" w:hAnsi="Arial" w:cs="Arial"/>
          <w:sz w:val="24"/>
          <w:szCs w:val="24"/>
          <w:vertAlign w:val="superscript"/>
        </w:rPr>
        <w:t xml:space="preserve"> </w:t>
      </w:r>
      <w:r w:rsidRPr="00D45CA5">
        <w:rPr>
          <w:rFonts w:ascii="Arial" w:hAnsi="Arial" w:cs="Arial"/>
          <w:sz w:val="24"/>
          <w:szCs w:val="24"/>
        </w:rPr>
        <w:t xml:space="preserve">August 2019 revealed </w:t>
      </w:r>
      <w:r>
        <w:rPr>
          <w:rFonts w:ascii="Arial" w:hAnsi="Arial" w:cs="Arial"/>
          <w:sz w:val="24"/>
          <w:szCs w:val="24"/>
        </w:rPr>
        <w:t xml:space="preserve">that a greater proportion were already in receipt of a service (727) </w:t>
      </w:r>
      <w:r w:rsidRPr="00D45CA5">
        <w:rPr>
          <w:rFonts w:ascii="Arial" w:hAnsi="Arial" w:cs="Arial"/>
          <w:sz w:val="24"/>
          <w:szCs w:val="24"/>
        </w:rPr>
        <w:t>awaiting a re-assessment rather than a first assessment</w:t>
      </w:r>
      <w:r w:rsidR="00227E42">
        <w:rPr>
          <w:rFonts w:ascii="Arial" w:hAnsi="Arial" w:cs="Arial"/>
          <w:sz w:val="24"/>
          <w:szCs w:val="24"/>
        </w:rPr>
        <w:t>,</w:t>
      </w:r>
      <w:r w:rsidRPr="00D45CA5">
        <w:rPr>
          <w:rFonts w:ascii="Arial" w:hAnsi="Arial" w:cs="Arial"/>
          <w:sz w:val="24"/>
          <w:szCs w:val="24"/>
        </w:rPr>
        <w:t xml:space="preserve"> and all cases ha</w:t>
      </w:r>
      <w:r>
        <w:rPr>
          <w:rFonts w:ascii="Arial" w:hAnsi="Arial" w:cs="Arial"/>
          <w:sz w:val="24"/>
          <w:szCs w:val="24"/>
        </w:rPr>
        <w:t>d</w:t>
      </w:r>
      <w:r w:rsidRPr="00D45CA5">
        <w:rPr>
          <w:rFonts w:ascii="Arial" w:hAnsi="Arial" w:cs="Arial"/>
          <w:sz w:val="24"/>
          <w:szCs w:val="24"/>
        </w:rPr>
        <w:t xml:space="preserve"> been screened and temporary services commissioned where appropriate</w:t>
      </w:r>
      <w:r>
        <w:rPr>
          <w:rFonts w:ascii="Arial" w:hAnsi="Arial" w:cs="Arial"/>
          <w:sz w:val="24"/>
          <w:szCs w:val="24"/>
        </w:rPr>
        <w:t xml:space="preserve">, whereas </w:t>
      </w:r>
      <w:r w:rsidRPr="00D45CA5">
        <w:rPr>
          <w:rFonts w:ascii="Arial" w:hAnsi="Arial" w:cs="Arial"/>
          <w:sz w:val="24"/>
          <w:szCs w:val="24"/>
        </w:rPr>
        <w:t xml:space="preserve">572 </w:t>
      </w:r>
      <w:r>
        <w:rPr>
          <w:rFonts w:ascii="Arial" w:hAnsi="Arial" w:cs="Arial"/>
          <w:sz w:val="24"/>
          <w:szCs w:val="24"/>
        </w:rPr>
        <w:t xml:space="preserve">were new to the service, which </w:t>
      </w:r>
      <w:r w:rsidRPr="00D45CA5">
        <w:rPr>
          <w:rFonts w:ascii="Arial" w:hAnsi="Arial" w:cs="Arial"/>
          <w:sz w:val="24"/>
          <w:szCs w:val="24"/>
        </w:rPr>
        <w:t xml:space="preserve">is very close to the 522 suggested </w:t>
      </w:r>
      <w:r>
        <w:rPr>
          <w:rFonts w:ascii="Arial" w:hAnsi="Arial" w:cs="Arial"/>
          <w:sz w:val="24"/>
          <w:szCs w:val="24"/>
        </w:rPr>
        <w:t>target.</w:t>
      </w:r>
    </w:p>
    <w:p w:rsidR="00FA05F9" w:rsidRPr="00D45CA5" w:rsidRDefault="00FA05F9" w:rsidP="00227E42">
      <w:pPr>
        <w:pStyle w:val="NoSpacing"/>
        <w:jc w:val="both"/>
        <w:rPr>
          <w:rFonts w:ascii="Arial" w:hAnsi="Arial" w:cs="Arial"/>
          <w:sz w:val="24"/>
          <w:szCs w:val="24"/>
        </w:rPr>
      </w:pPr>
    </w:p>
    <w:p w:rsidR="00FA05F9" w:rsidRPr="00D45CA5" w:rsidRDefault="009B31E1" w:rsidP="00227E42">
      <w:pPr>
        <w:pStyle w:val="NoSpacing"/>
        <w:jc w:val="both"/>
        <w:rPr>
          <w:rFonts w:ascii="Arial" w:hAnsi="Arial" w:cs="Arial"/>
          <w:sz w:val="24"/>
          <w:szCs w:val="24"/>
        </w:rPr>
      </w:pPr>
      <w:r w:rsidRPr="00D45CA5">
        <w:rPr>
          <w:rFonts w:ascii="Arial" w:hAnsi="Arial" w:cs="Arial"/>
          <w:sz w:val="24"/>
          <w:szCs w:val="24"/>
        </w:rPr>
        <w:t xml:space="preserve">Waiting lists are influenced partly by front door demand management, and this is an area where we know from a recent Peer Review </w:t>
      </w:r>
      <w:r>
        <w:rPr>
          <w:rFonts w:ascii="Arial" w:hAnsi="Arial" w:cs="Arial"/>
          <w:sz w:val="24"/>
          <w:szCs w:val="24"/>
        </w:rPr>
        <w:t xml:space="preserve">that </w:t>
      </w:r>
      <w:r w:rsidRPr="00D45CA5">
        <w:rPr>
          <w:rFonts w:ascii="Arial" w:hAnsi="Arial" w:cs="Arial"/>
          <w:sz w:val="24"/>
          <w:szCs w:val="24"/>
        </w:rPr>
        <w:t>we need to improve. In additi</w:t>
      </w:r>
      <w:r>
        <w:rPr>
          <w:rFonts w:ascii="Arial" w:hAnsi="Arial" w:cs="Arial"/>
          <w:sz w:val="24"/>
          <w:szCs w:val="24"/>
        </w:rPr>
        <w:t>on</w:t>
      </w:r>
      <w:r w:rsidRPr="00D45CA5">
        <w:rPr>
          <w:rFonts w:ascii="Arial" w:hAnsi="Arial" w:cs="Arial"/>
          <w:sz w:val="24"/>
          <w:szCs w:val="24"/>
        </w:rPr>
        <w:t>, it is also impacted by the consequences of having to manage provider failure and competing operational priorities within other service areas.</w:t>
      </w:r>
    </w:p>
    <w:p w:rsidR="00FA05F9" w:rsidRPr="00D45CA5" w:rsidRDefault="00FA05F9" w:rsidP="00227E42">
      <w:pPr>
        <w:pStyle w:val="NoSpacing"/>
        <w:jc w:val="both"/>
        <w:rPr>
          <w:rFonts w:ascii="Arial" w:hAnsi="Arial" w:cs="Arial"/>
          <w:sz w:val="24"/>
          <w:szCs w:val="24"/>
        </w:rPr>
      </w:pPr>
    </w:p>
    <w:p w:rsidR="00FA05F9" w:rsidRPr="00D45CA5" w:rsidRDefault="009B31E1" w:rsidP="00227E42">
      <w:pPr>
        <w:pStyle w:val="NoSpacing"/>
        <w:jc w:val="both"/>
        <w:rPr>
          <w:rFonts w:ascii="Arial" w:hAnsi="Arial" w:cs="Arial"/>
          <w:sz w:val="24"/>
          <w:szCs w:val="24"/>
        </w:rPr>
      </w:pPr>
      <w:r w:rsidRPr="00D45CA5">
        <w:rPr>
          <w:rFonts w:ascii="Arial" w:hAnsi="Arial" w:cs="Arial"/>
          <w:sz w:val="24"/>
          <w:szCs w:val="24"/>
        </w:rPr>
        <w:t xml:space="preserve">Ensuring people have the right response and are able to find appropriate information when they enquire about adult social care is a priority, and a programme of work is underway to improve the options available for people who express a desire for support.  The website and the way enquiries are dealt with at the customer services centre are both under review.  </w:t>
      </w:r>
    </w:p>
    <w:p w:rsidR="00FA05F9" w:rsidRPr="00D45CA5" w:rsidRDefault="00FA05F9" w:rsidP="00227E42">
      <w:pPr>
        <w:pStyle w:val="NoSpacing"/>
        <w:jc w:val="both"/>
        <w:rPr>
          <w:rFonts w:ascii="Arial" w:hAnsi="Arial" w:cs="Arial"/>
          <w:sz w:val="24"/>
          <w:szCs w:val="24"/>
        </w:rPr>
      </w:pPr>
    </w:p>
    <w:p w:rsidR="00FA05F9" w:rsidRPr="00D45CA5" w:rsidRDefault="009B31E1" w:rsidP="00227E42">
      <w:pPr>
        <w:pStyle w:val="NoSpacing"/>
        <w:jc w:val="both"/>
        <w:rPr>
          <w:rFonts w:ascii="Arial" w:hAnsi="Arial" w:cs="Arial"/>
          <w:sz w:val="24"/>
          <w:szCs w:val="24"/>
        </w:rPr>
      </w:pPr>
      <w:r w:rsidRPr="00D45CA5">
        <w:rPr>
          <w:rFonts w:ascii="Arial" w:hAnsi="Arial" w:cs="Arial"/>
          <w:sz w:val="24"/>
          <w:szCs w:val="24"/>
        </w:rPr>
        <w:t>Delayed transfers of care from hospital (delayed days)</w:t>
      </w:r>
      <w:r>
        <w:rPr>
          <w:rFonts w:ascii="Arial" w:hAnsi="Arial" w:cs="Arial"/>
          <w:sz w:val="24"/>
          <w:szCs w:val="24"/>
        </w:rPr>
        <w:t xml:space="preserve"> have improved considerably in quarter </w:t>
      </w:r>
      <w:r w:rsidRPr="00D45CA5">
        <w:rPr>
          <w:rFonts w:ascii="Arial" w:hAnsi="Arial" w:cs="Arial"/>
          <w:sz w:val="24"/>
          <w:szCs w:val="24"/>
        </w:rPr>
        <w:t>1</w:t>
      </w:r>
      <w:r w:rsidR="00227E42">
        <w:rPr>
          <w:rFonts w:ascii="Arial" w:hAnsi="Arial" w:cs="Arial"/>
          <w:sz w:val="24"/>
          <w:szCs w:val="24"/>
        </w:rPr>
        <w:t>,</w:t>
      </w:r>
      <w:r w:rsidRPr="00D45CA5">
        <w:rPr>
          <w:rFonts w:ascii="Arial" w:hAnsi="Arial" w:cs="Arial"/>
          <w:sz w:val="24"/>
          <w:szCs w:val="24"/>
        </w:rPr>
        <w:t xml:space="preserve"> and Lancashire is now closer to achieving </w:t>
      </w:r>
      <w:r>
        <w:rPr>
          <w:rFonts w:ascii="Arial" w:hAnsi="Arial" w:cs="Arial"/>
          <w:sz w:val="24"/>
          <w:szCs w:val="24"/>
        </w:rPr>
        <w:t>the</w:t>
      </w:r>
      <w:r w:rsidRPr="00D45CA5">
        <w:rPr>
          <w:rFonts w:ascii="Arial" w:hAnsi="Arial" w:cs="Arial"/>
          <w:sz w:val="24"/>
          <w:szCs w:val="24"/>
        </w:rPr>
        <w:t xml:space="preserve"> September 2018 targets, which were published for all authorities as part of the Better Care Fund 2018/19 Operational Guidance. The figures used here are those published by NHS Digital and tend to be higher than reported by our own internal monito</w:t>
      </w:r>
      <w:r>
        <w:rPr>
          <w:rFonts w:ascii="Arial" w:hAnsi="Arial" w:cs="Arial"/>
          <w:sz w:val="24"/>
          <w:szCs w:val="24"/>
        </w:rPr>
        <w:t>ring.  Investigations are under</w:t>
      </w:r>
      <w:r w:rsidRPr="00D45CA5">
        <w:rPr>
          <w:rFonts w:ascii="Arial" w:hAnsi="Arial" w:cs="Arial"/>
          <w:sz w:val="24"/>
          <w:szCs w:val="24"/>
        </w:rPr>
        <w:t>way as to why this migh</w:t>
      </w:r>
      <w:r>
        <w:rPr>
          <w:rFonts w:ascii="Arial" w:hAnsi="Arial" w:cs="Arial"/>
          <w:sz w:val="24"/>
          <w:szCs w:val="24"/>
        </w:rPr>
        <w:t xml:space="preserve">t be so and there is </w:t>
      </w:r>
      <w:r w:rsidRPr="00D45CA5">
        <w:rPr>
          <w:rFonts w:ascii="Arial" w:hAnsi="Arial" w:cs="Arial"/>
          <w:sz w:val="24"/>
          <w:szCs w:val="24"/>
        </w:rPr>
        <w:t xml:space="preserve">variable performance across the acute hospital trusts.  </w:t>
      </w:r>
    </w:p>
    <w:p w:rsidR="00FA05F9" w:rsidRPr="00D45CA5" w:rsidRDefault="00FA05F9" w:rsidP="00FA05F9">
      <w:pPr>
        <w:pStyle w:val="NoSpacing"/>
        <w:jc w:val="both"/>
        <w:rPr>
          <w:rFonts w:ascii="Arial" w:hAnsi="Arial" w:cs="Arial"/>
          <w:sz w:val="24"/>
          <w:szCs w:val="24"/>
        </w:rPr>
      </w:pPr>
    </w:p>
    <w:p w:rsidR="00227E42" w:rsidRDefault="00227E42" w:rsidP="00FA05F9">
      <w:pPr>
        <w:contextualSpacing/>
        <w:rPr>
          <w:rFonts w:eastAsiaTheme="minorHAnsi" w:cs="Arial"/>
          <w:i/>
          <w:szCs w:val="24"/>
          <w:lang w:eastAsia="en-US"/>
        </w:rPr>
      </w:pPr>
    </w:p>
    <w:p w:rsidR="00FA05F9" w:rsidRDefault="009B31E1" w:rsidP="00FA05F9">
      <w:pPr>
        <w:contextualSpacing/>
        <w:rPr>
          <w:rFonts w:eastAsiaTheme="minorHAnsi" w:cs="Arial"/>
          <w:i/>
          <w:szCs w:val="24"/>
          <w:lang w:eastAsia="en-US"/>
        </w:rPr>
      </w:pPr>
      <w:r w:rsidRPr="00D45CA5">
        <w:rPr>
          <w:rFonts w:eastAsiaTheme="minorHAnsi" w:cs="Arial"/>
          <w:i/>
          <w:szCs w:val="24"/>
          <w:lang w:eastAsia="en-US"/>
        </w:rPr>
        <w:lastRenderedPageBreak/>
        <w:t>Quality of services</w:t>
      </w:r>
    </w:p>
    <w:p w:rsidR="00227E42" w:rsidRPr="00D45CA5" w:rsidRDefault="00227E42" w:rsidP="00FA05F9">
      <w:pPr>
        <w:contextualSpacing/>
        <w:rPr>
          <w:rFonts w:cs="Arial"/>
          <w:szCs w:val="24"/>
        </w:rPr>
      </w:pPr>
    </w:p>
    <w:p w:rsidR="00FA05F9" w:rsidRPr="00D45CA5" w:rsidRDefault="009B31E1" w:rsidP="00FA05F9">
      <w:pPr>
        <w:pStyle w:val="NoSpacing"/>
        <w:jc w:val="both"/>
        <w:rPr>
          <w:rFonts w:ascii="Arial" w:hAnsi="Arial" w:cs="Arial"/>
          <w:sz w:val="24"/>
          <w:szCs w:val="24"/>
        </w:rPr>
      </w:pPr>
      <w:r w:rsidRPr="00D45CA5">
        <w:rPr>
          <w:rFonts w:ascii="Arial" w:hAnsi="Arial" w:cs="Arial"/>
          <w:sz w:val="24"/>
          <w:szCs w:val="24"/>
        </w:rPr>
        <w:t>Lancashire score</w:t>
      </w:r>
      <w:r>
        <w:rPr>
          <w:rFonts w:ascii="Arial" w:hAnsi="Arial" w:cs="Arial"/>
          <w:sz w:val="24"/>
          <w:szCs w:val="24"/>
        </w:rPr>
        <w:t>s match or exceed both the N</w:t>
      </w:r>
      <w:r w:rsidR="00227E42">
        <w:rPr>
          <w:rFonts w:ascii="Arial" w:hAnsi="Arial" w:cs="Arial"/>
          <w:sz w:val="24"/>
          <w:szCs w:val="24"/>
        </w:rPr>
        <w:t xml:space="preserve">orth </w:t>
      </w:r>
      <w:r>
        <w:rPr>
          <w:rFonts w:ascii="Arial" w:hAnsi="Arial" w:cs="Arial"/>
          <w:sz w:val="24"/>
          <w:szCs w:val="24"/>
        </w:rPr>
        <w:t>W</w:t>
      </w:r>
      <w:r w:rsidR="00227E42">
        <w:rPr>
          <w:rFonts w:ascii="Arial" w:hAnsi="Arial" w:cs="Arial"/>
          <w:sz w:val="24"/>
          <w:szCs w:val="24"/>
        </w:rPr>
        <w:t>est</w:t>
      </w:r>
      <w:r>
        <w:rPr>
          <w:rFonts w:ascii="Arial" w:hAnsi="Arial" w:cs="Arial"/>
          <w:sz w:val="24"/>
          <w:szCs w:val="24"/>
        </w:rPr>
        <w:t xml:space="preserve"> and </w:t>
      </w:r>
      <w:r w:rsidRPr="00D45CA5">
        <w:rPr>
          <w:rFonts w:ascii="Arial" w:hAnsi="Arial" w:cs="Arial"/>
          <w:sz w:val="24"/>
          <w:szCs w:val="24"/>
        </w:rPr>
        <w:t>England average</w:t>
      </w:r>
      <w:r>
        <w:rPr>
          <w:rFonts w:ascii="Arial" w:hAnsi="Arial" w:cs="Arial"/>
          <w:sz w:val="24"/>
          <w:szCs w:val="24"/>
        </w:rPr>
        <w:t>s</w:t>
      </w:r>
      <w:r w:rsidRPr="00D45CA5">
        <w:rPr>
          <w:rFonts w:ascii="Arial" w:hAnsi="Arial" w:cs="Arial"/>
          <w:sz w:val="24"/>
          <w:szCs w:val="24"/>
        </w:rPr>
        <w:t xml:space="preserve"> for the percentage of care homes rat</w:t>
      </w:r>
      <w:r>
        <w:rPr>
          <w:rFonts w:ascii="Arial" w:hAnsi="Arial" w:cs="Arial"/>
          <w:sz w:val="24"/>
          <w:szCs w:val="24"/>
        </w:rPr>
        <w:t xml:space="preserve">ed good or outstanding as well as </w:t>
      </w:r>
      <w:r w:rsidRPr="00D45CA5">
        <w:rPr>
          <w:rFonts w:ascii="Arial" w:hAnsi="Arial" w:cs="Arial"/>
          <w:sz w:val="24"/>
          <w:szCs w:val="24"/>
        </w:rPr>
        <w:t>the percentage of community care services rated good or outstanding.</w:t>
      </w:r>
    </w:p>
    <w:p w:rsidR="00FA05F9" w:rsidRPr="00D45CA5" w:rsidRDefault="00FA05F9" w:rsidP="00FA05F9">
      <w:pPr>
        <w:pStyle w:val="NoSpacing"/>
        <w:jc w:val="both"/>
        <w:rPr>
          <w:rFonts w:ascii="Arial" w:hAnsi="Arial" w:cs="Arial"/>
          <w:sz w:val="24"/>
          <w:szCs w:val="24"/>
        </w:rPr>
      </w:pPr>
    </w:p>
    <w:p w:rsidR="00FA05F9" w:rsidRPr="00D45CA5" w:rsidRDefault="009B31E1" w:rsidP="00FA05F9">
      <w:pPr>
        <w:pStyle w:val="NoSpacing"/>
        <w:jc w:val="both"/>
        <w:rPr>
          <w:rFonts w:ascii="Arial" w:hAnsi="Arial" w:cs="Arial"/>
          <w:sz w:val="24"/>
          <w:szCs w:val="24"/>
        </w:rPr>
      </w:pPr>
      <w:r w:rsidRPr="00D45CA5">
        <w:rPr>
          <w:rFonts w:ascii="Arial" w:hAnsi="Arial" w:cs="Arial"/>
          <w:sz w:val="24"/>
          <w:szCs w:val="24"/>
        </w:rPr>
        <w:t>Of the 404 Lancashire care homes rated, 17 are in-house residential services for older people and 76.5% (13) of these were rated good or outstanding and 4 were rated as requires improvement. Of the 404 Lancashire care homes ra</w:t>
      </w:r>
      <w:r>
        <w:rPr>
          <w:rFonts w:ascii="Arial" w:hAnsi="Arial" w:cs="Arial"/>
          <w:sz w:val="24"/>
          <w:szCs w:val="24"/>
        </w:rPr>
        <w:t>ted, 8 are in-house disability Short Break S</w:t>
      </w:r>
      <w:r w:rsidRPr="00D45CA5">
        <w:rPr>
          <w:rFonts w:ascii="Arial" w:hAnsi="Arial" w:cs="Arial"/>
          <w:sz w:val="24"/>
          <w:szCs w:val="24"/>
        </w:rPr>
        <w:t>ervices and 100% of these were rated good or outstanding (Lancaster &amp; Morecambe S</w:t>
      </w:r>
      <w:r w:rsidR="00227E42">
        <w:rPr>
          <w:rFonts w:ascii="Arial" w:hAnsi="Arial" w:cs="Arial"/>
          <w:sz w:val="24"/>
          <w:szCs w:val="24"/>
        </w:rPr>
        <w:t xml:space="preserve">hort </w:t>
      </w:r>
      <w:r w:rsidRPr="00D45CA5">
        <w:rPr>
          <w:rFonts w:ascii="Arial" w:hAnsi="Arial" w:cs="Arial"/>
          <w:sz w:val="24"/>
          <w:szCs w:val="24"/>
        </w:rPr>
        <w:t>B</w:t>
      </w:r>
      <w:r w:rsidR="00227E42">
        <w:rPr>
          <w:rFonts w:ascii="Arial" w:hAnsi="Arial" w:cs="Arial"/>
          <w:sz w:val="24"/>
          <w:szCs w:val="24"/>
        </w:rPr>
        <w:t xml:space="preserve">reak </w:t>
      </w:r>
      <w:r w:rsidRPr="00D45CA5">
        <w:rPr>
          <w:rFonts w:ascii="Arial" w:hAnsi="Arial" w:cs="Arial"/>
          <w:sz w:val="24"/>
          <w:szCs w:val="24"/>
        </w:rPr>
        <w:t>S</w:t>
      </w:r>
      <w:r w:rsidR="00227E42">
        <w:rPr>
          <w:rFonts w:ascii="Arial" w:hAnsi="Arial" w:cs="Arial"/>
          <w:sz w:val="24"/>
          <w:szCs w:val="24"/>
        </w:rPr>
        <w:t>ervice</w:t>
      </w:r>
      <w:r w:rsidRPr="00D45CA5">
        <w:rPr>
          <w:rFonts w:ascii="Arial" w:hAnsi="Arial" w:cs="Arial"/>
          <w:sz w:val="24"/>
          <w:szCs w:val="24"/>
        </w:rPr>
        <w:t xml:space="preserve"> and West Lancashire S</w:t>
      </w:r>
      <w:r w:rsidR="00227E42">
        <w:rPr>
          <w:rFonts w:ascii="Arial" w:hAnsi="Arial" w:cs="Arial"/>
          <w:sz w:val="24"/>
          <w:szCs w:val="24"/>
        </w:rPr>
        <w:t xml:space="preserve">hort </w:t>
      </w:r>
      <w:r w:rsidRPr="00D45CA5">
        <w:rPr>
          <w:rFonts w:ascii="Arial" w:hAnsi="Arial" w:cs="Arial"/>
          <w:sz w:val="24"/>
          <w:szCs w:val="24"/>
        </w:rPr>
        <w:t>B</w:t>
      </w:r>
      <w:r w:rsidR="00227E42">
        <w:rPr>
          <w:rFonts w:ascii="Arial" w:hAnsi="Arial" w:cs="Arial"/>
          <w:sz w:val="24"/>
          <w:szCs w:val="24"/>
        </w:rPr>
        <w:t xml:space="preserve">reak </w:t>
      </w:r>
      <w:r w:rsidRPr="00D45CA5">
        <w:rPr>
          <w:rFonts w:ascii="Arial" w:hAnsi="Arial" w:cs="Arial"/>
          <w:sz w:val="24"/>
          <w:szCs w:val="24"/>
        </w:rPr>
        <w:t>S</w:t>
      </w:r>
      <w:r w:rsidR="00227E42">
        <w:rPr>
          <w:rFonts w:ascii="Arial" w:hAnsi="Arial" w:cs="Arial"/>
          <w:sz w:val="24"/>
          <w:szCs w:val="24"/>
        </w:rPr>
        <w:t>ervice</w:t>
      </w:r>
      <w:r w:rsidRPr="00D45CA5">
        <w:rPr>
          <w:rFonts w:ascii="Arial" w:hAnsi="Arial" w:cs="Arial"/>
          <w:sz w:val="24"/>
          <w:szCs w:val="24"/>
        </w:rPr>
        <w:t xml:space="preserve"> were both rated outstanding). </w:t>
      </w:r>
    </w:p>
    <w:p w:rsidR="00FA05F9" w:rsidRPr="00D45CA5" w:rsidRDefault="00FA05F9" w:rsidP="00FA05F9">
      <w:pPr>
        <w:pStyle w:val="NoSpacing"/>
        <w:jc w:val="both"/>
        <w:rPr>
          <w:rFonts w:ascii="Arial" w:hAnsi="Arial" w:cs="Arial"/>
          <w:sz w:val="24"/>
          <w:szCs w:val="24"/>
        </w:rPr>
      </w:pPr>
    </w:p>
    <w:p w:rsidR="00FA05F9" w:rsidRPr="00D45CA5" w:rsidRDefault="009B31E1" w:rsidP="00FA05F9">
      <w:pPr>
        <w:pStyle w:val="NoSpacing"/>
        <w:jc w:val="both"/>
        <w:rPr>
          <w:rFonts w:ascii="Arial" w:hAnsi="Arial" w:cs="Arial"/>
          <w:sz w:val="24"/>
          <w:szCs w:val="24"/>
        </w:rPr>
      </w:pPr>
      <w:r w:rsidRPr="00D45CA5">
        <w:rPr>
          <w:rFonts w:ascii="Arial" w:hAnsi="Arial" w:cs="Arial"/>
          <w:sz w:val="24"/>
          <w:szCs w:val="24"/>
        </w:rPr>
        <w:t xml:space="preserve">The percentage of community care services rated good or outstanding continues to be high and performance is significantly above the national average. Of the total 157 community care services rated, 9 services are in-house disability services (8 domiciliary services and 1 shared lives service) and 100% of these were rated good or outstanding. The Lancashire Shared Lives Service is exceptional in that it is rated as outstanding in all five of the </w:t>
      </w:r>
      <w:r>
        <w:rPr>
          <w:rFonts w:ascii="Arial" w:hAnsi="Arial" w:cs="Arial"/>
          <w:sz w:val="24"/>
          <w:szCs w:val="24"/>
        </w:rPr>
        <w:t xml:space="preserve">Care Quality Commission </w:t>
      </w:r>
      <w:r w:rsidRPr="00D45CA5">
        <w:rPr>
          <w:rFonts w:ascii="Arial" w:hAnsi="Arial" w:cs="Arial"/>
          <w:sz w:val="24"/>
          <w:szCs w:val="24"/>
        </w:rPr>
        <w:t>assessment domains (safe, effective, caring, responsive and well-led).</w:t>
      </w:r>
    </w:p>
    <w:p w:rsidR="00FA05F9" w:rsidRDefault="00FA05F9" w:rsidP="00FA05F9">
      <w:pPr>
        <w:contextualSpacing/>
        <w:rPr>
          <w:rFonts w:eastAsiaTheme="minorHAnsi" w:cs="Arial"/>
          <w:i/>
          <w:szCs w:val="24"/>
          <w:lang w:eastAsia="en-US"/>
        </w:rPr>
      </w:pPr>
    </w:p>
    <w:tbl>
      <w:tblPr>
        <w:tblW w:w="9639" w:type="dxa"/>
        <w:tblInd w:w="-10" w:type="dxa"/>
        <w:tblLayout w:type="fixed"/>
        <w:tblLook w:val="04A0" w:firstRow="1" w:lastRow="0" w:firstColumn="1" w:lastColumn="0" w:noHBand="0" w:noVBand="1"/>
      </w:tblPr>
      <w:tblGrid>
        <w:gridCol w:w="2268"/>
        <w:gridCol w:w="851"/>
        <w:gridCol w:w="1134"/>
        <w:gridCol w:w="1134"/>
        <w:gridCol w:w="1134"/>
        <w:gridCol w:w="1134"/>
        <w:gridCol w:w="992"/>
        <w:gridCol w:w="992"/>
      </w:tblGrid>
      <w:tr w:rsidR="004744FE" w:rsidTr="00FA05F9">
        <w:trPr>
          <w:trHeight w:val="406"/>
        </w:trPr>
        <w:tc>
          <w:tcPr>
            <w:tcW w:w="2268" w:type="dxa"/>
            <w:tcBorders>
              <w:top w:val="single" w:sz="8" w:space="0" w:color="auto"/>
              <w:left w:val="single" w:sz="8" w:space="0" w:color="auto"/>
              <w:bottom w:val="nil"/>
              <w:right w:val="single" w:sz="8" w:space="0" w:color="auto"/>
            </w:tcBorders>
            <w:shd w:val="clear" w:color="000000" w:fill="F2F2F2"/>
            <w:vAlign w:val="center"/>
            <w:hideMark/>
          </w:tcPr>
          <w:p w:rsidR="00FA05F9" w:rsidRPr="006B4764" w:rsidRDefault="009B31E1" w:rsidP="00FA05F9">
            <w:pPr>
              <w:rPr>
                <w:rFonts w:cs="Arial"/>
                <w:b/>
                <w:bCs/>
                <w:sz w:val="18"/>
                <w:szCs w:val="18"/>
              </w:rPr>
            </w:pPr>
            <w:r w:rsidRPr="006B4764">
              <w:rPr>
                <w:rFonts w:cs="Arial"/>
                <w:b/>
                <w:bCs/>
                <w:sz w:val="18"/>
                <w:szCs w:val="18"/>
              </w:rPr>
              <w:t>Performance Measure</w:t>
            </w:r>
          </w:p>
        </w:tc>
        <w:tc>
          <w:tcPr>
            <w:tcW w:w="851" w:type="dxa"/>
            <w:tcBorders>
              <w:top w:val="single" w:sz="8" w:space="0" w:color="auto"/>
              <w:left w:val="nil"/>
              <w:bottom w:val="nil"/>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Good is High or Low</w:t>
            </w:r>
          </w:p>
        </w:tc>
        <w:tc>
          <w:tcPr>
            <w:tcW w:w="1134" w:type="dxa"/>
            <w:tcBorders>
              <w:top w:val="single" w:sz="8" w:space="0" w:color="auto"/>
              <w:left w:val="nil"/>
              <w:bottom w:val="nil"/>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Q1 2018/19</w:t>
            </w:r>
          </w:p>
        </w:tc>
        <w:tc>
          <w:tcPr>
            <w:tcW w:w="1134" w:type="dxa"/>
            <w:tcBorders>
              <w:top w:val="single" w:sz="8" w:space="0" w:color="auto"/>
              <w:left w:val="nil"/>
              <w:bottom w:val="nil"/>
              <w:right w:val="single" w:sz="4"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Q2 2018/19</w:t>
            </w:r>
          </w:p>
        </w:tc>
        <w:tc>
          <w:tcPr>
            <w:tcW w:w="1134" w:type="dxa"/>
            <w:tcBorders>
              <w:top w:val="single" w:sz="8" w:space="0" w:color="auto"/>
              <w:left w:val="single" w:sz="4" w:space="0" w:color="auto"/>
              <w:bottom w:val="nil"/>
              <w:right w:val="single" w:sz="4" w:space="0" w:color="auto"/>
            </w:tcBorders>
            <w:shd w:val="clear" w:color="000000" w:fill="F2F2F2"/>
            <w:vAlign w:val="center"/>
          </w:tcPr>
          <w:p w:rsidR="00FA05F9" w:rsidRPr="006B4764" w:rsidRDefault="009B31E1" w:rsidP="00FA05F9">
            <w:pPr>
              <w:jc w:val="center"/>
              <w:rPr>
                <w:rFonts w:cs="Arial"/>
                <w:b/>
                <w:bCs/>
                <w:sz w:val="18"/>
                <w:szCs w:val="18"/>
              </w:rPr>
            </w:pPr>
            <w:r w:rsidRPr="006B4764">
              <w:rPr>
                <w:rFonts w:cs="Arial"/>
                <w:b/>
                <w:bCs/>
                <w:sz w:val="18"/>
                <w:szCs w:val="18"/>
              </w:rPr>
              <w:t>Q3</w:t>
            </w:r>
          </w:p>
          <w:p w:rsidR="00FA05F9" w:rsidRPr="006B4764" w:rsidRDefault="009B31E1" w:rsidP="00FA05F9">
            <w:pPr>
              <w:jc w:val="center"/>
              <w:rPr>
                <w:rFonts w:cs="Arial"/>
                <w:b/>
                <w:bCs/>
                <w:sz w:val="18"/>
                <w:szCs w:val="18"/>
              </w:rPr>
            </w:pPr>
            <w:r w:rsidRPr="006B4764">
              <w:rPr>
                <w:rFonts w:cs="Arial"/>
                <w:b/>
                <w:bCs/>
                <w:sz w:val="18"/>
                <w:szCs w:val="18"/>
              </w:rPr>
              <w:t>2018/19</w:t>
            </w:r>
          </w:p>
        </w:tc>
        <w:tc>
          <w:tcPr>
            <w:tcW w:w="1134" w:type="dxa"/>
            <w:tcBorders>
              <w:top w:val="single" w:sz="8" w:space="0" w:color="auto"/>
              <w:left w:val="single" w:sz="4" w:space="0" w:color="auto"/>
              <w:bottom w:val="nil"/>
              <w:right w:val="single" w:sz="8" w:space="0" w:color="auto"/>
            </w:tcBorders>
            <w:shd w:val="clear" w:color="000000" w:fill="F2F2F2"/>
            <w:vAlign w:val="center"/>
          </w:tcPr>
          <w:p w:rsidR="00FA05F9" w:rsidRPr="006B4764" w:rsidRDefault="009B31E1" w:rsidP="00FA05F9">
            <w:pPr>
              <w:jc w:val="center"/>
              <w:rPr>
                <w:rFonts w:cs="Arial"/>
                <w:b/>
                <w:bCs/>
                <w:sz w:val="18"/>
                <w:szCs w:val="18"/>
              </w:rPr>
            </w:pPr>
            <w:r w:rsidRPr="006B4764">
              <w:rPr>
                <w:rFonts w:cs="Arial"/>
                <w:b/>
                <w:bCs/>
                <w:sz w:val="18"/>
                <w:szCs w:val="18"/>
              </w:rPr>
              <w:t>Q4 2018/19 (or 2018/19)</w:t>
            </w:r>
          </w:p>
        </w:tc>
        <w:tc>
          <w:tcPr>
            <w:tcW w:w="992" w:type="dxa"/>
            <w:tcBorders>
              <w:top w:val="single" w:sz="8" w:space="0" w:color="auto"/>
              <w:left w:val="single" w:sz="4" w:space="0" w:color="auto"/>
              <w:bottom w:val="nil"/>
              <w:right w:val="single" w:sz="4" w:space="0" w:color="auto"/>
            </w:tcBorders>
            <w:shd w:val="clear" w:color="000000" w:fill="F2F2F2"/>
          </w:tcPr>
          <w:p w:rsidR="00FA05F9" w:rsidRPr="006B4764" w:rsidRDefault="00FA05F9" w:rsidP="00FA05F9">
            <w:pPr>
              <w:jc w:val="center"/>
              <w:rPr>
                <w:rFonts w:cs="Arial"/>
                <w:b/>
                <w:bCs/>
                <w:sz w:val="18"/>
                <w:szCs w:val="18"/>
              </w:rPr>
            </w:pPr>
          </w:p>
          <w:p w:rsidR="00FA05F9" w:rsidRPr="006B4764" w:rsidRDefault="009B31E1" w:rsidP="00FA05F9">
            <w:pPr>
              <w:jc w:val="center"/>
              <w:rPr>
                <w:rFonts w:cs="Arial"/>
                <w:b/>
                <w:bCs/>
                <w:sz w:val="18"/>
                <w:szCs w:val="18"/>
              </w:rPr>
            </w:pPr>
            <w:r w:rsidRPr="006B4764">
              <w:rPr>
                <w:rFonts w:cs="Arial"/>
                <w:b/>
                <w:bCs/>
                <w:sz w:val="18"/>
                <w:szCs w:val="18"/>
              </w:rPr>
              <w:t>Q1 2019/20</w:t>
            </w:r>
          </w:p>
        </w:tc>
        <w:tc>
          <w:tcPr>
            <w:tcW w:w="992" w:type="dxa"/>
            <w:tcBorders>
              <w:top w:val="single" w:sz="8" w:space="0" w:color="auto"/>
              <w:left w:val="single" w:sz="4" w:space="0" w:color="auto"/>
              <w:bottom w:val="nil"/>
              <w:right w:val="single" w:sz="8" w:space="0" w:color="auto"/>
            </w:tcBorders>
            <w:shd w:val="clear" w:color="000000" w:fill="F2F2F2"/>
            <w:vAlign w:val="center"/>
            <w:hideMark/>
          </w:tcPr>
          <w:p w:rsidR="00FA05F9" w:rsidRPr="006B4764" w:rsidRDefault="009B31E1" w:rsidP="00FA05F9">
            <w:pPr>
              <w:jc w:val="center"/>
              <w:rPr>
                <w:rFonts w:cs="Arial"/>
                <w:b/>
                <w:bCs/>
                <w:sz w:val="18"/>
                <w:szCs w:val="18"/>
              </w:rPr>
            </w:pPr>
            <w:r w:rsidRPr="006B4764">
              <w:rPr>
                <w:rFonts w:cs="Arial"/>
                <w:b/>
                <w:bCs/>
                <w:sz w:val="18"/>
                <w:szCs w:val="18"/>
              </w:rPr>
              <w:t>England Average</w:t>
            </w:r>
          </w:p>
        </w:tc>
      </w:tr>
      <w:tr w:rsidR="004744FE" w:rsidTr="00FA05F9">
        <w:trPr>
          <w:trHeight w:val="60"/>
        </w:trPr>
        <w:tc>
          <w:tcPr>
            <w:tcW w:w="9639" w:type="dxa"/>
            <w:gridSpan w:val="8"/>
            <w:tcBorders>
              <w:top w:val="single" w:sz="8" w:space="0" w:color="auto"/>
              <w:left w:val="single" w:sz="8" w:space="0" w:color="auto"/>
              <w:bottom w:val="single" w:sz="8" w:space="0" w:color="auto"/>
              <w:right w:val="single" w:sz="8" w:space="0" w:color="000000"/>
            </w:tcBorders>
            <w:shd w:val="clear" w:color="000000" w:fill="F2F2F2"/>
          </w:tcPr>
          <w:p w:rsidR="00FA05F9" w:rsidRPr="00EA7E15" w:rsidRDefault="009B31E1" w:rsidP="00FA05F9">
            <w:pPr>
              <w:rPr>
                <w:rFonts w:cs="Arial"/>
                <w:b/>
                <w:bCs/>
                <w:color w:val="FF0000"/>
                <w:sz w:val="18"/>
                <w:szCs w:val="18"/>
              </w:rPr>
            </w:pPr>
            <w:r w:rsidRPr="00855528">
              <w:rPr>
                <w:rFonts w:cs="Arial"/>
                <w:b/>
                <w:bCs/>
                <w:sz w:val="18"/>
                <w:szCs w:val="18"/>
              </w:rPr>
              <w:t>Health Checks</w:t>
            </w:r>
          </w:p>
        </w:tc>
      </w:tr>
      <w:tr w:rsidR="004744FE" w:rsidTr="00FA05F9">
        <w:trPr>
          <w:trHeight w:val="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FA05F9" w:rsidRPr="00855528" w:rsidRDefault="009B31E1" w:rsidP="00FA05F9">
            <w:pPr>
              <w:rPr>
                <w:rFonts w:cs="Arial"/>
                <w:sz w:val="18"/>
                <w:szCs w:val="18"/>
              </w:rPr>
            </w:pPr>
            <w:r w:rsidRPr="00855528">
              <w:rPr>
                <w:rFonts w:cs="Arial"/>
                <w:sz w:val="18"/>
                <w:szCs w:val="18"/>
              </w:rPr>
              <w:t>Number of NHS Health Checks offered to eligible population</w:t>
            </w:r>
          </w:p>
        </w:tc>
        <w:tc>
          <w:tcPr>
            <w:tcW w:w="851" w:type="dxa"/>
            <w:tcBorders>
              <w:top w:val="nil"/>
              <w:left w:val="single" w:sz="4" w:space="0" w:color="auto"/>
              <w:bottom w:val="single" w:sz="4" w:space="0" w:color="auto"/>
              <w:right w:val="single" w:sz="8" w:space="0" w:color="auto"/>
            </w:tcBorders>
            <w:shd w:val="clear" w:color="auto" w:fill="auto"/>
            <w:vAlign w:val="center"/>
          </w:tcPr>
          <w:p w:rsidR="00FA05F9" w:rsidRPr="00855528" w:rsidRDefault="009B31E1" w:rsidP="00FA05F9">
            <w:pPr>
              <w:jc w:val="center"/>
              <w:rPr>
                <w:rFonts w:cs="Arial"/>
                <w:sz w:val="18"/>
                <w:szCs w:val="18"/>
              </w:rPr>
            </w:pPr>
            <w:r w:rsidRPr="00855528">
              <w:rPr>
                <w:rFonts w:cs="Arial"/>
                <w:sz w:val="18"/>
                <w:szCs w:val="18"/>
              </w:rPr>
              <w:t>H</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hideMark/>
          </w:tcPr>
          <w:p w:rsidR="00FA05F9" w:rsidRPr="00855528" w:rsidRDefault="009B31E1" w:rsidP="00FA05F9">
            <w:pPr>
              <w:jc w:val="center"/>
              <w:rPr>
                <w:rFonts w:cs="Arial"/>
                <w:sz w:val="18"/>
                <w:szCs w:val="18"/>
              </w:rPr>
            </w:pPr>
            <w:r>
              <w:rPr>
                <w:rFonts w:cs="Arial"/>
                <w:sz w:val="18"/>
                <w:szCs w:val="18"/>
              </w:rPr>
              <w:t>29,348</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hideMark/>
          </w:tcPr>
          <w:p w:rsidR="00FA05F9" w:rsidRPr="00855528" w:rsidRDefault="009B31E1" w:rsidP="00FA05F9">
            <w:pPr>
              <w:jc w:val="center"/>
              <w:rPr>
                <w:rFonts w:cs="Arial"/>
                <w:sz w:val="18"/>
                <w:szCs w:val="18"/>
              </w:rPr>
            </w:pPr>
            <w:r>
              <w:rPr>
                <w:rFonts w:cs="Arial"/>
                <w:sz w:val="18"/>
                <w:szCs w:val="18"/>
              </w:rPr>
              <w:t>26,286</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Pr>
                <w:rFonts w:cs="Arial"/>
                <w:sz w:val="18"/>
                <w:szCs w:val="18"/>
              </w:rPr>
              <w:t>24,517</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Pr>
                <w:rFonts w:cs="Arial"/>
                <w:sz w:val="18"/>
                <w:szCs w:val="18"/>
              </w:rPr>
              <w:t xml:space="preserve">24,078 </w:t>
            </w:r>
            <w:r w:rsidRPr="00855528">
              <w:rPr>
                <w:rFonts w:cs="Arial"/>
                <w:sz w:val="18"/>
                <w:szCs w:val="18"/>
              </w:rPr>
              <w:t>(Q4)</w:t>
            </w:r>
          </w:p>
          <w:p w:rsidR="00FA05F9" w:rsidRPr="00855528" w:rsidRDefault="009B31E1" w:rsidP="00FA05F9">
            <w:pPr>
              <w:jc w:val="center"/>
              <w:rPr>
                <w:rFonts w:cs="Arial"/>
                <w:sz w:val="18"/>
                <w:szCs w:val="18"/>
              </w:rPr>
            </w:pPr>
            <w:r>
              <w:rPr>
                <w:rFonts w:cs="Arial"/>
                <w:sz w:val="18"/>
                <w:szCs w:val="18"/>
              </w:rPr>
              <w:t>104,229</w:t>
            </w:r>
            <w:r w:rsidRPr="00855528">
              <w:rPr>
                <w:rFonts w:cs="Arial"/>
                <w:sz w:val="18"/>
                <w:szCs w:val="18"/>
              </w:rPr>
              <w:t xml:space="preserve"> (2018/19)</w:t>
            </w:r>
          </w:p>
        </w:tc>
        <w:tc>
          <w:tcPr>
            <w:tcW w:w="992" w:type="dxa"/>
            <w:tcBorders>
              <w:top w:val="nil"/>
              <w:left w:val="nil"/>
              <w:bottom w:val="single" w:sz="8" w:space="0" w:color="auto"/>
              <w:right w:val="single" w:sz="8" w:space="0" w:color="auto"/>
            </w:tcBorders>
            <w:shd w:val="clear" w:color="auto" w:fill="C5E0B3" w:themeFill="accent6" w:themeFillTint="66"/>
            <w:vAlign w:val="center"/>
          </w:tcPr>
          <w:p w:rsidR="00FA05F9" w:rsidRPr="006E33B0" w:rsidRDefault="009B31E1" w:rsidP="00FA05F9">
            <w:pPr>
              <w:jc w:val="center"/>
              <w:rPr>
                <w:rFonts w:cs="Arial"/>
                <w:sz w:val="18"/>
                <w:szCs w:val="18"/>
              </w:rPr>
            </w:pPr>
            <w:r>
              <w:rPr>
                <w:rFonts w:cs="Arial"/>
                <w:bCs/>
                <w:sz w:val="18"/>
              </w:rPr>
              <w:t>37,683</w:t>
            </w:r>
          </w:p>
        </w:tc>
        <w:tc>
          <w:tcPr>
            <w:tcW w:w="992" w:type="dxa"/>
            <w:tcBorders>
              <w:top w:val="nil"/>
              <w:left w:val="nil"/>
              <w:bottom w:val="single" w:sz="8" w:space="0" w:color="auto"/>
              <w:right w:val="single" w:sz="8" w:space="0" w:color="auto"/>
            </w:tcBorders>
            <w:shd w:val="clear" w:color="auto" w:fill="auto"/>
            <w:vAlign w:val="center"/>
            <w:hideMark/>
          </w:tcPr>
          <w:p w:rsidR="00FA05F9" w:rsidRPr="006E33B0" w:rsidRDefault="009B31E1" w:rsidP="00FA05F9">
            <w:pPr>
              <w:jc w:val="center"/>
              <w:rPr>
                <w:rFonts w:cs="Arial"/>
                <w:sz w:val="18"/>
                <w:szCs w:val="18"/>
              </w:rPr>
            </w:pPr>
            <w:r w:rsidRPr="00DC3962">
              <w:rPr>
                <w:rFonts w:cs="Arial"/>
                <w:sz w:val="18"/>
              </w:rPr>
              <w:t>-</w:t>
            </w:r>
          </w:p>
        </w:tc>
      </w:tr>
      <w:tr w:rsidR="004744FE" w:rsidTr="00FA05F9">
        <w:trPr>
          <w:trHeight w:val="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05F9" w:rsidRPr="00855528" w:rsidRDefault="009B31E1" w:rsidP="00FA05F9">
            <w:pPr>
              <w:rPr>
                <w:rFonts w:cs="Arial"/>
                <w:sz w:val="18"/>
                <w:szCs w:val="18"/>
              </w:rPr>
            </w:pPr>
            <w:r w:rsidRPr="00855528">
              <w:rPr>
                <w:rFonts w:cs="Arial"/>
                <w:sz w:val="18"/>
                <w:szCs w:val="18"/>
              </w:rPr>
              <w:t>Number of NHS Health Checks completed</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FA05F9" w:rsidRPr="00855528" w:rsidRDefault="009B31E1" w:rsidP="00FA05F9">
            <w:pPr>
              <w:jc w:val="center"/>
              <w:rPr>
                <w:rFonts w:cs="Arial"/>
                <w:sz w:val="18"/>
                <w:szCs w:val="18"/>
              </w:rPr>
            </w:pPr>
            <w:r w:rsidRPr="00855528">
              <w:rPr>
                <w:rFonts w:cs="Arial"/>
                <w:sz w:val="18"/>
                <w:szCs w:val="18"/>
              </w:rPr>
              <w:t>H</w:t>
            </w:r>
          </w:p>
        </w:tc>
        <w:tc>
          <w:tcPr>
            <w:tcW w:w="1134"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855528" w:rsidRDefault="009B31E1" w:rsidP="00FA05F9">
            <w:pPr>
              <w:jc w:val="center"/>
              <w:rPr>
                <w:rFonts w:cs="Arial"/>
                <w:sz w:val="18"/>
                <w:szCs w:val="18"/>
              </w:rPr>
            </w:pPr>
            <w:r>
              <w:rPr>
                <w:rFonts w:cs="Arial"/>
                <w:sz w:val="18"/>
                <w:szCs w:val="18"/>
              </w:rPr>
              <w:t>11,928</w:t>
            </w:r>
          </w:p>
        </w:tc>
        <w:tc>
          <w:tcPr>
            <w:tcW w:w="1134"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855528" w:rsidRDefault="009B31E1" w:rsidP="00FA05F9">
            <w:pPr>
              <w:jc w:val="center"/>
              <w:rPr>
                <w:rFonts w:cs="Arial"/>
                <w:sz w:val="18"/>
                <w:szCs w:val="18"/>
              </w:rPr>
            </w:pPr>
            <w:r>
              <w:rPr>
                <w:rFonts w:cs="Arial"/>
                <w:sz w:val="18"/>
                <w:szCs w:val="18"/>
              </w:rPr>
              <w:t>12,827</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Pr>
                <w:rFonts w:cs="Arial"/>
                <w:sz w:val="18"/>
                <w:szCs w:val="18"/>
              </w:rPr>
              <w:t>14,274</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Pr>
                <w:rFonts w:cs="Arial"/>
                <w:sz w:val="18"/>
                <w:szCs w:val="18"/>
              </w:rPr>
              <w:t xml:space="preserve">13,327  </w:t>
            </w:r>
            <w:r w:rsidRPr="00855528">
              <w:rPr>
                <w:rFonts w:cs="Arial"/>
                <w:sz w:val="18"/>
                <w:szCs w:val="18"/>
              </w:rPr>
              <w:t>(Q4)</w:t>
            </w:r>
          </w:p>
          <w:p w:rsidR="00FA05F9" w:rsidRPr="00855528" w:rsidRDefault="009B31E1" w:rsidP="00FA05F9">
            <w:pPr>
              <w:jc w:val="center"/>
              <w:rPr>
                <w:rFonts w:cs="Arial"/>
                <w:sz w:val="18"/>
                <w:szCs w:val="18"/>
              </w:rPr>
            </w:pPr>
            <w:r>
              <w:rPr>
                <w:rFonts w:cs="Arial"/>
                <w:sz w:val="18"/>
                <w:szCs w:val="18"/>
              </w:rPr>
              <w:t>52,266</w:t>
            </w:r>
            <w:r w:rsidRPr="00855528">
              <w:rPr>
                <w:rFonts w:cs="Arial"/>
                <w:sz w:val="18"/>
                <w:szCs w:val="18"/>
              </w:rPr>
              <w:t xml:space="preserve"> (2018/19)</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A05F9" w:rsidRPr="006E33B0" w:rsidRDefault="009B31E1" w:rsidP="00FA05F9">
            <w:pPr>
              <w:jc w:val="center"/>
              <w:rPr>
                <w:rFonts w:cs="Arial"/>
                <w:sz w:val="18"/>
                <w:szCs w:val="18"/>
              </w:rPr>
            </w:pPr>
            <w:r>
              <w:rPr>
                <w:rFonts w:cs="Arial"/>
                <w:sz w:val="18"/>
                <w:szCs w:val="18"/>
              </w:rPr>
              <w:t>13,184</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5F9" w:rsidRPr="006E33B0" w:rsidRDefault="009B31E1" w:rsidP="00FA05F9">
            <w:pPr>
              <w:jc w:val="center"/>
              <w:rPr>
                <w:rFonts w:cs="Arial"/>
                <w:sz w:val="18"/>
                <w:szCs w:val="18"/>
              </w:rPr>
            </w:pPr>
            <w:r w:rsidRPr="006E33B0">
              <w:rPr>
                <w:rFonts w:cs="Arial"/>
                <w:sz w:val="18"/>
                <w:szCs w:val="18"/>
              </w:rPr>
              <w:t>-</w:t>
            </w:r>
          </w:p>
        </w:tc>
      </w:tr>
      <w:tr w:rsidR="004744FE" w:rsidTr="00FA05F9">
        <w:trPr>
          <w:trHeight w:val="60"/>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A05F9" w:rsidRPr="00855528" w:rsidRDefault="009B31E1" w:rsidP="00FA05F9">
            <w:pPr>
              <w:rPr>
                <w:rFonts w:cs="Arial"/>
                <w:sz w:val="18"/>
                <w:szCs w:val="18"/>
              </w:rPr>
            </w:pPr>
            <w:r w:rsidRPr="00855528">
              <w:rPr>
                <w:rFonts w:cs="Arial"/>
                <w:sz w:val="18"/>
                <w:szCs w:val="18"/>
              </w:rPr>
              <w:t xml:space="preserve">% completed of NHS Health Checks offered </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FA05F9" w:rsidRPr="00855528" w:rsidRDefault="009B31E1" w:rsidP="00FA05F9">
            <w:pPr>
              <w:jc w:val="center"/>
              <w:rPr>
                <w:rFonts w:cs="Arial"/>
                <w:sz w:val="18"/>
                <w:szCs w:val="18"/>
              </w:rPr>
            </w:pPr>
            <w:r w:rsidRPr="00855528">
              <w:rPr>
                <w:rFonts w:cs="Arial"/>
                <w:sz w:val="18"/>
                <w:szCs w:val="18"/>
              </w:rPr>
              <w:t>H</w:t>
            </w:r>
          </w:p>
        </w:tc>
        <w:tc>
          <w:tcPr>
            <w:tcW w:w="1134"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855528" w:rsidRDefault="009B31E1" w:rsidP="00FA05F9">
            <w:pPr>
              <w:jc w:val="center"/>
              <w:rPr>
                <w:rFonts w:cs="Arial"/>
                <w:sz w:val="18"/>
                <w:szCs w:val="18"/>
              </w:rPr>
            </w:pPr>
            <w:r w:rsidRPr="00855528">
              <w:rPr>
                <w:rFonts w:cs="Arial"/>
                <w:sz w:val="18"/>
                <w:szCs w:val="18"/>
              </w:rPr>
              <w:t>40.6%</w:t>
            </w:r>
          </w:p>
        </w:tc>
        <w:tc>
          <w:tcPr>
            <w:tcW w:w="1134" w:type="dxa"/>
            <w:tcBorders>
              <w:top w:val="single" w:sz="4" w:space="0" w:color="auto"/>
              <w:left w:val="nil"/>
              <w:bottom w:val="single" w:sz="8" w:space="0" w:color="auto"/>
              <w:right w:val="single" w:sz="8" w:space="0" w:color="auto"/>
            </w:tcBorders>
            <w:shd w:val="clear" w:color="auto" w:fill="F7CAAC" w:themeFill="accent2" w:themeFillTint="66"/>
            <w:vAlign w:val="center"/>
            <w:hideMark/>
          </w:tcPr>
          <w:p w:rsidR="00FA05F9" w:rsidRPr="00855528" w:rsidRDefault="009B31E1" w:rsidP="00FA05F9">
            <w:pPr>
              <w:jc w:val="center"/>
              <w:rPr>
                <w:rFonts w:cs="Arial"/>
                <w:sz w:val="18"/>
                <w:szCs w:val="18"/>
              </w:rPr>
            </w:pPr>
            <w:r w:rsidRPr="00855528">
              <w:rPr>
                <w:rFonts w:cs="Arial"/>
                <w:sz w:val="18"/>
                <w:szCs w:val="18"/>
              </w:rPr>
              <w:t>48.8%</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sidRPr="00855528">
              <w:rPr>
                <w:rFonts w:cs="Arial"/>
                <w:sz w:val="18"/>
                <w:szCs w:val="18"/>
              </w:rPr>
              <w:t>58.2%</w:t>
            </w:r>
          </w:p>
        </w:tc>
        <w:tc>
          <w:tcPr>
            <w:tcW w:w="1134"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FA05F9" w:rsidRPr="00855528" w:rsidRDefault="009B31E1" w:rsidP="00FA05F9">
            <w:pPr>
              <w:jc w:val="center"/>
              <w:rPr>
                <w:rFonts w:cs="Arial"/>
                <w:sz w:val="18"/>
                <w:szCs w:val="18"/>
              </w:rPr>
            </w:pPr>
            <w:r w:rsidRPr="00855528">
              <w:rPr>
                <w:rFonts w:cs="Arial"/>
                <w:sz w:val="18"/>
                <w:szCs w:val="18"/>
              </w:rPr>
              <w:t>55.0% (Q4)</w:t>
            </w:r>
          </w:p>
          <w:p w:rsidR="00FA05F9" w:rsidRPr="00855528" w:rsidRDefault="009B31E1" w:rsidP="00FA05F9">
            <w:pPr>
              <w:jc w:val="center"/>
              <w:rPr>
                <w:rFonts w:cs="Arial"/>
                <w:sz w:val="18"/>
                <w:szCs w:val="18"/>
              </w:rPr>
            </w:pPr>
            <w:r w:rsidRPr="00855528">
              <w:rPr>
                <w:rFonts w:cs="Arial"/>
                <w:sz w:val="18"/>
                <w:szCs w:val="18"/>
              </w:rPr>
              <w:t>50.1% (2018/19)</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A05F9" w:rsidRPr="00EA7E15" w:rsidRDefault="009B31E1" w:rsidP="00FA05F9">
            <w:pPr>
              <w:jc w:val="center"/>
              <w:rPr>
                <w:rFonts w:cs="Arial"/>
                <w:color w:val="FF0000"/>
                <w:sz w:val="18"/>
                <w:szCs w:val="18"/>
              </w:rPr>
            </w:pPr>
            <w:r>
              <w:rPr>
                <w:rFonts w:cs="Arial"/>
                <w:sz w:val="18"/>
                <w:szCs w:val="18"/>
              </w:rPr>
              <w:t>35.0%</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5F9" w:rsidRPr="00855528" w:rsidRDefault="009B31E1" w:rsidP="00FA05F9">
            <w:pPr>
              <w:jc w:val="center"/>
              <w:rPr>
                <w:rFonts w:cs="Arial"/>
                <w:sz w:val="18"/>
                <w:szCs w:val="18"/>
              </w:rPr>
            </w:pPr>
            <w:r>
              <w:rPr>
                <w:rFonts w:cs="Arial"/>
                <w:sz w:val="18"/>
                <w:szCs w:val="18"/>
              </w:rPr>
              <w:t>49.1% (Q4 2018/19)</w:t>
            </w:r>
          </w:p>
        </w:tc>
      </w:tr>
      <w:tr w:rsidR="004744FE" w:rsidTr="00FA05F9">
        <w:trPr>
          <w:trHeight w:val="59"/>
        </w:trPr>
        <w:tc>
          <w:tcPr>
            <w:tcW w:w="9639" w:type="dxa"/>
            <w:gridSpan w:val="8"/>
            <w:tcBorders>
              <w:top w:val="single" w:sz="8" w:space="0" w:color="auto"/>
              <w:left w:val="single" w:sz="8" w:space="0" w:color="auto"/>
              <w:bottom w:val="single" w:sz="8" w:space="0" w:color="auto"/>
              <w:right w:val="single" w:sz="8" w:space="0" w:color="000000"/>
            </w:tcBorders>
            <w:shd w:val="clear" w:color="000000" w:fill="F2F2F2"/>
          </w:tcPr>
          <w:p w:rsidR="00FA05F9" w:rsidRPr="006B4764" w:rsidRDefault="009B31E1" w:rsidP="00FA05F9">
            <w:pPr>
              <w:rPr>
                <w:rFonts w:cs="Arial"/>
                <w:b/>
                <w:bCs/>
                <w:sz w:val="18"/>
                <w:szCs w:val="18"/>
              </w:rPr>
            </w:pPr>
            <w:r w:rsidRPr="006B4764">
              <w:rPr>
                <w:rFonts w:cs="Arial"/>
                <w:b/>
                <w:bCs/>
                <w:sz w:val="18"/>
                <w:szCs w:val="18"/>
              </w:rPr>
              <w:t>Alcohol</w:t>
            </w:r>
          </w:p>
        </w:tc>
      </w:tr>
      <w:tr w:rsidR="004744FE" w:rsidTr="00FA05F9">
        <w:trPr>
          <w:trHeight w:val="1209"/>
        </w:trPr>
        <w:tc>
          <w:tcPr>
            <w:tcW w:w="2268" w:type="dxa"/>
            <w:tcBorders>
              <w:top w:val="single" w:sz="8" w:space="0" w:color="auto"/>
              <w:left w:val="single" w:sz="8" w:space="0" w:color="auto"/>
              <w:bottom w:val="single" w:sz="8" w:space="0" w:color="000000"/>
              <w:right w:val="single" w:sz="8" w:space="0" w:color="auto"/>
            </w:tcBorders>
            <w:vAlign w:val="center"/>
            <w:hideMark/>
          </w:tcPr>
          <w:p w:rsidR="00FA05F9" w:rsidRPr="006B4764" w:rsidRDefault="009B31E1" w:rsidP="00FA05F9">
            <w:pPr>
              <w:rPr>
                <w:rFonts w:cs="Arial"/>
                <w:sz w:val="18"/>
                <w:szCs w:val="18"/>
              </w:rPr>
            </w:pPr>
            <w:r w:rsidRPr="006B4764">
              <w:rPr>
                <w:rFonts w:cs="Arial"/>
                <w:sz w:val="18"/>
                <w:szCs w:val="18"/>
              </w:rPr>
              <w:t xml:space="preserve">Percentage of alcohol users that left alcohol treatment successfully who do not re-present to treatment within 6 months </w:t>
            </w:r>
          </w:p>
        </w:tc>
        <w:tc>
          <w:tcPr>
            <w:tcW w:w="851" w:type="dxa"/>
            <w:tcBorders>
              <w:top w:val="nil"/>
              <w:left w:val="single" w:sz="8" w:space="0" w:color="auto"/>
              <w:bottom w:val="single" w:sz="8" w:space="0" w:color="000000"/>
              <w:right w:val="single" w:sz="8" w:space="0" w:color="auto"/>
            </w:tcBorders>
            <w:vAlign w:val="center"/>
            <w:hideMark/>
          </w:tcPr>
          <w:p w:rsidR="00FA05F9" w:rsidRPr="006B4764" w:rsidRDefault="009B31E1" w:rsidP="00FA05F9">
            <w:pPr>
              <w:jc w:val="center"/>
              <w:rPr>
                <w:rFonts w:cs="Arial"/>
                <w:sz w:val="18"/>
                <w:szCs w:val="18"/>
              </w:rPr>
            </w:pPr>
            <w:r w:rsidRPr="006B4764">
              <w:rPr>
                <w:rFonts w:cs="Arial"/>
                <w:sz w:val="18"/>
                <w:szCs w:val="18"/>
              </w:rPr>
              <w:t>H</w:t>
            </w:r>
          </w:p>
        </w:tc>
        <w:tc>
          <w:tcPr>
            <w:tcW w:w="1134" w:type="dxa"/>
            <w:tcBorders>
              <w:top w:val="nil"/>
              <w:left w:val="single" w:sz="4" w:space="0" w:color="auto"/>
              <w:bottom w:val="single" w:sz="4" w:space="0" w:color="auto"/>
              <w:right w:val="single" w:sz="8" w:space="0" w:color="auto"/>
            </w:tcBorders>
            <w:shd w:val="clear" w:color="auto" w:fill="F7CAAC" w:themeFill="accent2" w:themeFillTint="66"/>
            <w:vAlign w:val="center"/>
          </w:tcPr>
          <w:p w:rsidR="00FA05F9" w:rsidRPr="006B4764" w:rsidRDefault="009B31E1" w:rsidP="00FA05F9">
            <w:pPr>
              <w:jc w:val="center"/>
              <w:rPr>
                <w:rFonts w:cs="Arial"/>
                <w:sz w:val="18"/>
                <w:szCs w:val="18"/>
              </w:rPr>
            </w:pPr>
            <w:r w:rsidRPr="006B4764">
              <w:rPr>
                <w:rFonts w:cs="Arial"/>
                <w:sz w:val="18"/>
                <w:szCs w:val="18"/>
              </w:rPr>
              <w:t>54.4%</w:t>
            </w:r>
          </w:p>
          <w:p w:rsidR="00FA05F9" w:rsidRPr="006B4764" w:rsidRDefault="009B31E1" w:rsidP="00FA05F9">
            <w:pPr>
              <w:jc w:val="center"/>
              <w:rPr>
                <w:rFonts w:cs="Arial"/>
                <w:sz w:val="18"/>
                <w:szCs w:val="18"/>
              </w:rPr>
            </w:pPr>
            <w:r w:rsidRPr="006B4764">
              <w:rPr>
                <w:rFonts w:cs="Arial"/>
                <w:sz w:val="18"/>
                <w:szCs w:val="18"/>
              </w:rPr>
              <w:t xml:space="preserve">(rolling year July 17 to June 18) </w:t>
            </w:r>
          </w:p>
        </w:tc>
        <w:tc>
          <w:tcPr>
            <w:tcW w:w="1134" w:type="dxa"/>
            <w:tcBorders>
              <w:top w:val="nil"/>
              <w:left w:val="single" w:sz="4" w:space="0" w:color="auto"/>
              <w:bottom w:val="single" w:sz="4" w:space="0" w:color="auto"/>
              <w:right w:val="single" w:sz="8" w:space="0" w:color="auto"/>
            </w:tcBorders>
            <w:shd w:val="clear" w:color="auto" w:fill="F7CAAC" w:themeFill="accent2" w:themeFillTint="66"/>
            <w:vAlign w:val="center"/>
          </w:tcPr>
          <w:p w:rsidR="00FA05F9" w:rsidRPr="006B4764" w:rsidRDefault="009B31E1" w:rsidP="00FA05F9">
            <w:pPr>
              <w:jc w:val="center"/>
              <w:rPr>
                <w:rFonts w:cs="Arial"/>
                <w:sz w:val="18"/>
                <w:szCs w:val="18"/>
              </w:rPr>
            </w:pPr>
            <w:r>
              <w:rPr>
                <w:rFonts w:cs="Arial"/>
                <w:sz w:val="18"/>
                <w:szCs w:val="18"/>
              </w:rPr>
              <w:t>52.1</w:t>
            </w:r>
            <w:r w:rsidRPr="006B4764">
              <w:rPr>
                <w:rFonts w:cs="Arial"/>
                <w:sz w:val="18"/>
                <w:szCs w:val="18"/>
              </w:rPr>
              <w:t>%</w:t>
            </w:r>
          </w:p>
          <w:p w:rsidR="00FA05F9" w:rsidRPr="006B4764" w:rsidRDefault="009B31E1" w:rsidP="00FA05F9">
            <w:pPr>
              <w:jc w:val="center"/>
              <w:rPr>
                <w:rFonts w:cs="Arial"/>
                <w:sz w:val="18"/>
                <w:szCs w:val="18"/>
              </w:rPr>
            </w:pPr>
            <w:r>
              <w:rPr>
                <w:rFonts w:cs="Arial"/>
                <w:sz w:val="18"/>
                <w:szCs w:val="18"/>
              </w:rPr>
              <w:t>(rolling year Oct 17 to Sept</w:t>
            </w:r>
            <w:r w:rsidRPr="006B4764">
              <w:rPr>
                <w:rFonts w:cs="Arial"/>
                <w:sz w:val="18"/>
                <w:szCs w:val="18"/>
              </w:rPr>
              <w:t xml:space="preserve"> 18) </w:t>
            </w:r>
          </w:p>
        </w:tc>
        <w:tc>
          <w:tcPr>
            <w:tcW w:w="1134" w:type="dxa"/>
            <w:tcBorders>
              <w:top w:val="nil"/>
              <w:left w:val="nil"/>
              <w:bottom w:val="single" w:sz="8" w:space="0" w:color="auto"/>
              <w:right w:val="single" w:sz="8" w:space="0" w:color="auto"/>
            </w:tcBorders>
            <w:shd w:val="clear" w:color="000000" w:fill="F8CBAD"/>
            <w:vAlign w:val="center"/>
          </w:tcPr>
          <w:p w:rsidR="00FA05F9" w:rsidRPr="00E0441C" w:rsidRDefault="009B31E1" w:rsidP="00FA05F9">
            <w:pPr>
              <w:jc w:val="center"/>
              <w:rPr>
                <w:rFonts w:cs="Arial"/>
                <w:i/>
                <w:sz w:val="18"/>
                <w:szCs w:val="18"/>
              </w:rPr>
            </w:pPr>
            <w:r w:rsidRPr="006B4764">
              <w:rPr>
                <w:rFonts w:cs="Arial"/>
                <w:sz w:val="18"/>
                <w:szCs w:val="18"/>
              </w:rPr>
              <w:t>52.1%</w:t>
            </w:r>
            <w:r w:rsidRPr="006B4764">
              <w:rPr>
                <w:rFonts w:cs="Arial"/>
                <w:i/>
                <w:sz w:val="18"/>
                <w:szCs w:val="18"/>
              </w:rPr>
              <w:t xml:space="preserve"> </w:t>
            </w:r>
            <w:r>
              <w:rPr>
                <w:rFonts w:cs="Arial"/>
                <w:sz w:val="18"/>
                <w:szCs w:val="18"/>
              </w:rPr>
              <w:t>(rolling year Jan to Dec</w:t>
            </w:r>
            <w:r w:rsidRPr="006B4764">
              <w:rPr>
                <w:rFonts w:cs="Arial"/>
                <w:sz w:val="18"/>
                <w:szCs w:val="18"/>
              </w:rPr>
              <w:t xml:space="preserve"> 18)</w:t>
            </w:r>
          </w:p>
        </w:tc>
        <w:tc>
          <w:tcPr>
            <w:tcW w:w="1134" w:type="dxa"/>
            <w:tcBorders>
              <w:top w:val="nil"/>
              <w:left w:val="nil"/>
              <w:bottom w:val="single" w:sz="8" w:space="0" w:color="auto"/>
              <w:right w:val="single" w:sz="4" w:space="0" w:color="auto"/>
            </w:tcBorders>
            <w:vAlign w:val="center"/>
          </w:tcPr>
          <w:p w:rsidR="00FA05F9" w:rsidRPr="00431DD3" w:rsidRDefault="009B31E1" w:rsidP="00FA05F9">
            <w:pPr>
              <w:jc w:val="center"/>
              <w:rPr>
                <w:rFonts w:cs="Arial"/>
                <w:sz w:val="18"/>
                <w:szCs w:val="18"/>
              </w:rPr>
            </w:pPr>
            <w:r>
              <w:rPr>
                <w:rFonts w:cs="Arial"/>
                <w:sz w:val="18"/>
                <w:szCs w:val="18"/>
              </w:rPr>
              <w:t>n/a</w:t>
            </w:r>
          </w:p>
        </w:tc>
        <w:tc>
          <w:tcPr>
            <w:tcW w:w="992" w:type="dxa"/>
            <w:tcBorders>
              <w:top w:val="nil"/>
              <w:left w:val="single" w:sz="4" w:space="0" w:color="auto"/>
              <w:bottom w:val="single" w:sz="4" w:space="0" w:color="auto"/>
              <w:right w:val="single" w:sz="4" w:space="0" w:color="auto"/>
            </w:tcBorders>
            <w:vAlign w:val="center"/>
          </w:tcPr>
          <w:p w:rsidR="00FA05F9" w:rsidRPr="00431DD3" w:rsidRDefault="009B31E1" w:rsidP="00FA05F9">
            <w:pPr>
              <w:jc w:val="center"/>
              <w:rPr>
                <w:rFonts w:cs="Arial"/>
                <w:sz w:val="18"/>
                <w:szCs w:val="18"/>
              </w:rPr>
            </w:pPr>
            <w:r w:rsidRPr="00431DD3">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FA05F9" w:rsidRPr="00431DD3" w:rsidRDefault="009B31E1" w:rsidP="00FA05F9">
            <w:pPr>
              <w:jc w:val="center"/>
              <w:rPr>
                <w:rFonts w:cs="Arial"/>
                <w:sz w:val="18"/>
                <w:szCs w:val="18"/>
              </w:rPr>
            </w:pPr>
            <w:r w:rsidRPr="009930BF">
              <w:rPr>
                <w:rFonts w:cs="Arial"/>
                <w:sz w:val="18"/>
                <w:szCs w:val="18"/>
              </w:rPr>
              <w:t>37.8%</w:t>
            </w:r>
          </w:p>
        </w:tc>
      </w:tr>
      <w:tr w:rsidR="004744FE" w:rsidTr="00FA05F9">
        <w:trPr>
          <w:trHeight w:val="60"/>
        </w:trPr>
        <w:tc>
          <w:tcPr>
            <w:tcW w:w="9639" w:type="dxa"/>
            <w:gridSpan w:val="8"/>
            <w:tcBorders>
              <w:top w:val="single" w:sz="8" w:space="0" w:color="auto"/>
              <w:left w:val="single" w:sz="8" w:space="0" w:color="auto"/>
              <w:bottom w:val="single" w:sz="8" w:space="0" w:color="auto"/>
              <w:right w:val="single" w:sz="8" w:space="0" w:color="000000"/>
            </w:tcBorders>
            <w:shd w:val="clear" w:color="000000" w:fill="F2F2F2"/>
          </w:tcPr>
          <w:p w:rsidR="00FA05F9" w:rsidRPr="00431DD3" w:rsidRDefault="009B31E1" w:rsidP="00FA05F9">
            <w:pPr>
              <w:rPr>
                <w:rFonts w:cs="Arial"/>
                <w:b/>
                <w:bCs/>
                <w:sz w:val="18"/>
                <w:szCs w:val="18"/>
              </w:rPr>
            </w:pPr>
            <w:r w:rsidRPr="00431DD3">
              <w:rPr>
                <w:rFonts w:cs="Arial"/>
                <w:b/>
                <w:bCs/>
                <w:sz w:val="18"/>
                <w:szCs w:val="18"/>
              </w:rPr>
              <w:t>Drug use</w:t>
            </w:r>
          </w:p>
        </w:tc>
      </w:tr>
      <w:tr w:rsidR="004744FE" w:rsidTr="00FA05F9">
        <w:trPr>
          <w:trHeight w:val="48"/>
        </w:trPr>
        <w:tc>
          <w:tcPr>
            <w:tcW w:w="2268" w:type="dxa"/>
            <w:tcBorders>
              <w:top w:val="single" w:sz="8" w:space="0" w:color="auto"/>
              <w:left w:val="single" w:sz="8" w:space="0" w:color="auto"/>
              <w:bottom w:val="single" w:sz="8" w:space="0" w:color="000000"/>
              <w:right w:val="single" w:sz="8" w:space="0" w:color="auto"/>
            </w:tcBorders>
            <w:vAlign w:val="center"/>
          </w:tcPr>
          <w:p w:rsidR="00FA05F9" w:rsidRPr="006B4764" w:rsidRDefault="009B31E1" w:rsidP="00FA05F9">
            <w:pPr>
              <w:rPr>
                <w:rFonts w:cs="Arial"/>
                <w:sz w:val="18"/>
                <w:szCs w:val="18"/>
              </w:rPr>
            </w:pPr>
            <w:r w:rsidRPr="006B4764">
              <w:rPr>
                <w:rFonts w:cs="Arial"/>
                <w:sz w:val="18"/>
                <w:szCs w:val="18"/>
              </w:rPr>
              <w:t xml:space="preserve">% of opiate drug users that left drug treatment successfully who do not re-present to treatment within 6 months </w:t>
            </w:r>
          </w:p>
        </w:tc>
        <w:tc>
          <w:tcPr>
            <w:tcW w:w="851" w:type="dxa"/>
            <w:tcBorders>
              <w:top w:val="nil"/>
              <w:left w:val="nil"/>
              <w:bottom w:val="single" w:sz="8" w:space="0" w:color="auto"/>
              <w:right w:val="single" w:sz="4" w:space="0" w:color="auto"/>
            </w:tcBorders>
            <w:vAlign w:val="center"/>
          </w:tcPr>
          <w:p w:rsidR="00FA05F9" w:rsidRPr="006B4764" w:rsidRDefault="009B31E1" w:rsidP="00FA05F9">
            <w:pPr>
              <w:jc w:val="center"/>
              <w:rPr>
                <w:rFonts w:cs="Arial"/>
                <w:sz w:val="18"/>
                <w:szCs w:val="18"/>
              </w:rPr>
            </w:pPr>
            <w:r w:rsidRPr="006B4764">
              <w:rPr>
                <w:rFonts w:cs="Arial"/>
                <w:sz w:val="18"/>
                <w:szCs w:val="18"/>
              </w:rPr>
              <w:t>H</w:t>
            </w:r>
          </w:p>
        </w:tc>
        <w:tc>
          <w:tcPr>
            <w:tcW w:w="1134" w:type="dxa"/>
            <w:tcBorders>
              <w:top w:val="nil"/>
              <w:left w:val="nil"/>
              <w:bottom w:val="single" w:sz="8" w:space="0" w:color="auto"/>
              <w:right w:val="single" w:sz="4" w:space="0" w:color="auto"/>
            </w:tcBorders>
            <w:shd w:val="clear" w:color="auto" w:fill="F7CAAC" w:themeFill="accent2" w:themeFillTint="66"/>
            <w:vAlign w:val="center"/>
          </w:tcPr>
          <w:p w:rsidR="00FA05F9" w:rsidRPr="006B4764" w:rsidRDefault="009B31E1" w:rsidP="00FA05F9">
            <w:pPr>
              <w:jc w:val="center"/>
              <w:rPr>
                <w:rFonts w:cs="Arial"/>
                <w:sz w:val="18"/>
                <w:szCs w:val="18"/>
              </w:rPr>
            </w:pPr>
            <w:r w:rsidRPr="006B4764">
              <w:rPr>
                <w:rFonts w:cs="Arial"/>
                <w:sz w:val="18"/>
                <w:szCs w:val="18"/>
              </w:rPr>
              <w:t>6.9%</w:t>
            </w:r>
          </w:p>
          <w:p w:rsidR="00FA05F9" w:rsidRPr="006B4764" w:rsidRDefault="009B31E1" w:rsidP="00FA05F9">
            <w:pPr>
              <w:jc w:val="center"/>
              <w:rPr>
                <w:rFonts w:cs="Arial"/>
                <w:sz w:val="18"/>
                <w:szCs w:val="18"/>
              </w:rPr>
            </w:pPr>
            <w:r w:rsidRPr="006B4764">
              <w:rPr>
                <w:rFonts w:cs="Arial"/>
                <w:sz w:val="18"/>
                <w:szCs w:val="18"/>
              </w:rPr>
              <w:t>(rolling year July 17 to June 18)</w:t>
            </w:r>
          </w:p>
        </w:tc>
        <w:tc>
          <w:tcPr>
            <w:tcW w:w="1134" w:type="dxa"/>
            <w:tcBorders>
              <w:top w:val="nil"/>
              <w:left w:val="nil"/>
              <w:bottom w:val="single" w:sz="8" w:space="0" w:color="auto"/>
              <w:right w:val="single" w:sz="4" w:space="0" w:color="auto"/>
            </w:tcBorders>
            <w:shd w:val="clear" w:color="auto" w:fill="F7CAAC" w:themeFill="accent2" w:themeFillTint="66"/>
            <w:vAlign w:val="center"/>
          </w:tcPr>
          <w:p w:rsidR="00FA05F9" w:rsidRPr="006B4764" w:rsidRDefault="009B31E1" w:rsidP="00FA05F9">
            <w:pPr>
              <w:jc w:val="center"/>
              <w:rPr>
                <w:rFonts w:cs="Arial"/>
                <w:sz w:val="18"/>
                <w:szCs w:val="18"/>
              </w:rPr>
            </w:pPr>
            <w:r w:rsidRPr="006B4764">
              <w:rPr>
                <w:rFonts w:cs="Arial"/>
                <w:sz w:val="18"/>
                <w:szCs w:val="18"/>
              </w:rPr>
              <w:t>6.6%</w:t>
            </w:r>
            <w:r w:rsidRPr="006B4764">
              <w:rPr>
                <w:rFonts w:cs="Arial"/>
                <w:i/>
                <w:sz w:val="18"/>
                <w:szCs w:val="18"/>
              </w:rPr>
              <w:t xml:space="preserve"> </w:t>
            </w:r>
            <w:r w:rsidRPr="006B4764">
              <w:rPr>
                <w:rFonts w:cs="Arial"/>
                <w:sz w:val="18"/>
                <w:szCs w:val="18"/>
              </w:rPr>
              <w:t>(rolling year Oct 17 to Sept 18)</w:t>
            </w:r>
          </w:p>
        </w:tc>
        <w:tc>
          <w:tcPr>
            <w:tcW w:w="1134" w:type="dxa"/>
            <w:tcBorders>
              <w:top w:val="nil"/>
              <w:left w:val="nil"/>
              <w:bottom w:val="single" w:sz="8" w:space="0" w:color="auto"/>
              <w:right w:val="single" w:sz="8" w:space="0" w:color="auto"/>
            </w:tcBorders>
            <w:shd w:val="clear" w:color="000000" w:fill="F8CBAD"/>
            <w:vAlign w:val="center"/>
          </w:tcPr>
          <w:p w:rsidR="00FA05F9" w:rsidRPr="00711F06" w:rsidRDefault="009B31E1" w:rsidP="00FA05F9">
            <w:pPr>
              <w:jc w:val="center"/>
              <w:rPr>
                <w:rFonts w:cs="Arial"/>
                <w:sz w:val="18"/>
                <w:szCs w:val="18"/>
              </w:rPr>
            </w:pPr>
            <w:r w:rsidRPr="00711F06">
              <w:rPr>
                <w:rFonts w:cs="Arial"/>
                <w:sz w:val="18"/>
                <w:szCs w:val="18"/>
              </w:rPr>
              <w:t>6.5%</w:t>
            </w:r>
            <w:r w:rsidRPr="00711F06">
              <w:rPr>
                <w:rFonts w:cs="Arial"/>
                <w:i/>
                <w:sz w:val="18"/>
                <w:szCs w:val="18"/>
              </w:rPr>
              <w:t xml:space="preserve"> </w:t>
            </w:r>
            <w:r w:rsidRPr="00711F06">
              <w:rPr>
                <w:rFonts w:cs="Arial"/>
                <w:sz w:val="18"/>
                <w:szCs w:val="18"/>
              </w:rPr>
              <w:t>(rolling year Jan to Dec 18)</w:t>
            </w:r>
          </w:p>
        </w:tc>
        <w:tc>
          <w:tcPr>
            <w:tcW w:w="1134" w:type="dxa"/>
            <w:tcBorders>
              <w:top w:val="nil"/>
              <w:left w:val="single" w:sz="4" w:space="0" w:color="auto"/>
              <w:bottom w:val="single" w:sz="4" w:space="0" w:color="auto"/>
              <w:right w:val="single" w:sz="8" w:space="0" w:color="auto"/>
            </w:tcBorders>
            <w:shd w:val="clear" w:color="auto" w:fill="auto"/>
            <w:vAlign w:val="center"/>
          </w:tcPr>
          <w:p w:rsidR="00FA05F9" w:rsidRPr="00431DD3" w:rsidRDefault="009B31E1" w:rsidP="00FA05F9">
            <w:pPr>
              <w:jc w:val="center"/>
              <w:rPr>
                <w:rFonts w:cs="Arial"/>
                <w:sz w:val="18"/>
                <w:szCs w:val="18"/>
              </w:rPr>
            </w:pPr>
            <w:r w:rsidRPr="00431DD3">
              <w:rPr>
                <w:rFonts w:cs="Arial"/>
                <w:i/>
                <w:sz w:val="18"/>
                <w:szCs w:val="18"/>
              </w:rPr>
              <w:t>n/a</w:t>
            </w:r>
          </w:p>
        </w:tc>
        <w:tc>
          <w:tcPr>
            <w:tcW w:w="992" w:type="dxa"/>
            <w:tcBorders>
              <w:top w:val="nil"/>
              <w:left w:val="single" w:sz="4" w:space="0" w:color="auto"/>
              <w:bottom w:val="single" w:sz="4" w:space="0" w:color="auto"/>
              <w:right w:val="single" w:sz="4" w:space="0" w:color="auto"/>
            </w:tcBorders>
            <w:vAlign w:val="center"/>
          </w:tcPr>
          <w:p w:rsidR="00FA05F9" w:rsidRPr="00431DD3" w:rsidRDefault="009B31E1" w:rsidP="00FA05F9">
            <w:pPr>
              <w:jc w:val="center"/>
              <w:rPr>
                <w:rFonts w:cs="Arial"/>
                <w:sz w:val="18"/>
                <w:szCs w:val="18"/>
              </w:rPr>
            </w:pPr>
            <w:r w:rsidRPr="00431DD3">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tcPr>
          <w:p w:rsidR="00FA05F9" w:rsidRPr="009930BF" w:rsidRDefault="009B31E1" w:rsidP="00FA05F9">
            <w:pPr>
              <w:jc w:val="center"/>
              <w:rPr>
                <w:rFonts w:cs="Arial"/>
                <w:color w:val="FF0000"/>
                <w:sz w:val="18"/>
                <w:szCs w:val="18"/>
              </w:rPr>
            </w:pPr>
            <w:r w:rsidRPr="009930BF">
              <w:rPr>
                <w:rFonts w:cs="Arial"/>
                <w:sz w:val="18"/>
                <w:szCs w:val="18"/>
              </w:rPr>
              <w:t>5.9%</w:t>
            </w:r>
          </w:p>
        </w:tc>
      </w:tr>
      <w:tr w:rsidR="004744FE" w:rsidTr="00FA05F9">
        <w:trPr>
          <w:trHeight w:val="48"/>
        </w:trPr>
        <w:tc>
          <w:tcPr>
            <w:tcW w:w="2268" w:type="dxa"/>
            <w:tcBorders>
              <w:top w:val="single" w:sz="8" w:space="0" w:color="auto"/>
              <w:left w:val="single" w:sz="8" w:space="0" w:color="auto"/>
              <w:bottom w:val="single" w:sz="8" w:space="0" w:color="000000"/>
              <w:right w:val="single" w:sz="8" w:space="0" w:color="auto"/>
            </w:tcBorders>
            <w:vAlign w:val="center"/>
          </w:tcPr>
          <w:p w:rsidR="00FA05F9" w:rsidRPr="006B4764" w:rsidRDefault="009B31E1" w:rsidP="00FA05F9">
            <w:pPr>
              <w:rPr>
                <w:rFonts w:cs="Arial"/>
                <w:sz w:val="18"/>
                <w:szCs w:val="18"/>
              </w:rPr>
            </w:pPr>
            <w:r w:rsidRPr="006B4764">
              <w:rPr>
                <w:rFonts w:cs="Arial"/>
                <w:sz w:val="18"/>
                <w:szCs w:val="18"/>
              </w:rPr>
              <w:t>% of non-opiate drug users that left drug treatment successfully who do not re-present to treatment within 6 months</w:t>
            </w:r>
          </w:p>
        </w:tc>
        <w:tc>
          <w:tcPr>
            <w:tcW w:w="851" w:type="dxa"/>
            <w:tcBorders>
              <w:top w:val="nil"/>
              <w:left w:val="nil"/>
              <w:bottom w:val="single" w:sz="8" w:space="0" w:color="auto"/>
              <w:right w:val="single" w:sz="4" w:space="0" w:color="auto"/>
            </w:tcBorders>
            <w:vAlign w:val="center"/>
          </w:tcPr>
          <w:p w:rsidR="00FA05F9" w:rsidRPr="006B4764" w:rsidRDefault="009B31E1" w:rsidP="00FA05F9">
            <w:pPr>
              <w:jc w:val="center"/>
              <w:rPr>
                <w:rFonts w:cs="Arial"/>
                <w:sz w:val="18"/>
                <w:szCs w:val="18"/>
              </w:rPr>
            </w:pPr>
            <w:r w:rsidRPr="006B4764">
              <w:rPr>
                <w:rFonts w:cs="Arial"/>
                <w:sz w:val="18"/>
                <w:szCs w:val="18"/>
              </w:rPr>
              <w:t>H</w:t>
            </w:r>
          </w:p>
        </w:tc>
        <w:tc>
          <w:tcPr>
            <w:tcW w:w="1134" w:type="dxa"/>
            <w:tcBorders>
              <w:top w:val="nil"/>
              <w:left w:val="nil"/>
              <w:bottom w:val="single" w:sz="8" w:space="0" w:color="auto"/>
              <w:right w:val="single" w:sz="4" w:space="0" w:color="auto"/>
            </w:tcBorders>
            <w:shd w:val="clear" w:color="auto" w:fill="C5E0B3" w:themeFill="accent6" w:themeFillTint="66"/>
            <w:vAlign w:val="center"/>
          </w:tcPr>
          <w:p w:rsidR="00FA05F9" w:rsidRPr="006B4764" w:rsidRDefault="009B31E1" w:rsidP="00FA05F9">
            <w:pPr>
              <w:jc w:val="center"/>
              <w:rPr>
                <w:rFonts w:cs="Arial"/>
                <w:sz w:val="18"/>
                <w:szCs w:val="18"/>
              </w:rPr>
            </w:pPr>
            <w:r w:rsidRPr="006B4764">
              <w:rPr>
                <w:rFonts w:cs="Arial"/>
                <w:sz w:val="18"/>
                <w:szCs w:val="18"/>
              </w:rPr>
              <w:t>52.2%</w:t>
            </w:r>
          </w:p>
          <w:p w:rsidR="00FA05F9" w:rsidRPr="006B4764" w:rsidRDefault="009B31E1" w:rsidP="00FA05F9">
            <w:pPr>
              <w:jc w:val="center"/>
              <w:rPr>
                <w:rFonts w:cs="Arial"/>
                <w:sz w:val="18"/>
                <w:szCs w:val="18"/>
              </w:rPr>
            </w:pPr>
            <w:r w:rsidRPr="006B4764">
              <w:rPr>
                <w:rFonts w:cs="Arial"/>
                <w:sz w:val="18"/>
                <w:szCs w:val="18"/>
              </w:rPr>
              <w:t>(rolling year July 17 to June 18)</w:t>
            </w:r>
          </w:p>
        </w:tc>
        <w:tc>
          <w:tcPr>
            <w:tcW w:w="1134" w:type="dxa"/>
            <w:tcBorders>
              <w:top w:val="nil"/>
              <w:left w:val="nil"/>
              <w:bottom w:val="single" w:sz="8" w:space="0" w:color="auto"/>
              <w:right w:val="single" w:sz="4" w:space="0" w:color="auto"/>
            </w:tcBorders>
            <w:shd w:val="clear" w:color="auto" w:fill="C5E0B3" w:themeFill="accent6" w:themeFillTint="66"/>
            <w:vAlign w:val="center"/>
          </w:tcPr>
          <w:p w:rsidR="00FA05F9" w:rsidRPr="006B4764" w:rsidRDefault="009B31E1" w:rsidP="00FA05F9">
            <w:pPr>
              <w:jc w:val="center"/>
              <w:rPr>
                <w:rFonts w:cs="Arial"/>
                <w:sz w:val="18"/>
                <w:szCs w:val="18"/>
              </w:rPr>
            </w:pPr>
            <w:r w:rsidRPr="006B4764">
              <w:rPr>
                <w:rFonts w:cs="Arial"/>
                <w:sz w:val="18"/>
                <w:szCs w:val="18"/>
              </w:rPr>
              <w:t>51.1%</w:t>
            </w:r>
            <w:r w:rsidRPr="006B4764">
              <w:rPr>
                <w:rFonts w:cs="Arial"/>
                <w:i/>
                <w:sz w:val="18"/>
                <w:szCs w:val="18"/>
              </w:rPr>
              <w:t xml:space="preserve"> </w:t>
            </w:r>
            <w:r w:rsidRPr="006B4764">
              <w:rPr>
                <w:rFonts w:cs="Arial"/>
                <w:sz w:val="18"/>
                <w:szCs w:val="18"/>
              </w:rPr>
              <w:t>(rolling year Oct 17 to Sept 18)</w:t>
            </w:r>
          </w:p>
        </w:tc>
        <w:tc>
          <w:tcPr>
            <w:tcW w:w="1134" w:type="dxa"/>
            <w:tcBorders>
              <w:top w:val="nil"/>
              <w:left w:val="nil"/>
              <w:bottom w:val="single" w:sz="8" w:space="0" w:color="auto"/>
              <w:right w:val="single" w:sz="8" w:space="0" w:color="auto"/>
            </w:tcBorders>
            <w:shd w:val="clear" w:color="auto" w:fill="F7CAAC" w:themeFill="accent2" w:themeFillTint="66"/>
            <w:vAlign w:val="center"/>
          </w:tcPr>
          <w:p w:rsidR="00FA05F9" w:rsidRPr="00711F06" w:rsidRDefault="009B31E1" w:rsidP="00FA05F9">
            <w:pPr>
              <w:jc w:val="center"/>
              <w:rPr>
                <w:rFonts w:cs="Arial"/>
                <w:sz w:val="18"/>
                <w:szCs w:val="18"/>
              </w:rPr>
            </w:pPr>
            <w:r w:rsidRPr="00D1687D">
              <w:rPr>
                <w:rFonts w:cs="Arial"/>
                <w:sz w:val="18"/>
                <w:szCs w:val="18"/>
              </w:rPr>
              <w:t>46.7%</w:t>
            </w:r>
            <w:r w:rsidRPr="00D1687D">
              <w:rPr>
                <w:rFonts w:cs="Arial"/>
                <w:i/>
                <w:sz w:val="18"/>
                <w:szCs w:val="18"/>
              </w:rPr>
              <w:t xml:space="preserve"> </w:t>
            </w:r>
            <w:r w:rsidRPr="00D1687D">
              <w:rPr>
                <w:rFonts w:cs="Arial"/>
                <w:sz w:val="18"/>
                <w:szCs w:val="18"/>
              </w:rPr>
              <w:t>(rolling year Jan to Dec 18)</w:t>
            </w:r>
          </w:p>
        </w:tc>
        <w:tc>
          <w:tcPr>
            <w:tcW w:w="1134" w:type="dxa"/>
            <w:tcBorders>
              <w:top w:val="nil"/>
              <w:left w:val="nil"/>
              <w:bottom w:val="single" w:sz="8" w:space="0" w:color="auto"/>
              <w:right w:val="single" w:sz="8" w:space="0" w:color="auto"/>
            </w:tcBorders>
            <w:shd w:val="clear" w:color="000000" w:fill="FFFFFF"/>
            <w:vAlign w:val="center"/>
          </w:tcPr>
          <w:p w:rsidR="00FA05F9" w:rsidRPr="00431DD3" w:rsidRDefault="009B31E1" w:rsidP="00FA05F9">
            <w:pPr>
              <w:jc w:val="center"/>
              <w:rPr>
                <w:rFonts w:cs="Arial"/>
                <w:sz w:val="18"/>
                <w:szCs w:val="18"/>
              </w:rPr>
            </w:pPr>
            <w:r w:rsidRPr="00431DD3">
              <w:rPr>
                <w:rFonts w:cs="Arial"/>
                <w:i/>
                <w:sz w:val="18"/>
                <w:szCs w:val="18"/>
              </w:rPr>
              <w:t>n/a</w:t>
            </w:r>
          </w:p>
        </w:tc>
        <w:tc>
          <w:tcPr>
            <w:tcW w:w="992" w:type="dxa"/>
            <w:tcBorders>
              <w:top w:val="nil"/>
              <w:left w:val="single" w:sz="4" w:space="0" w:color="auto"/>
              <w:bottom w:val="single" w:sz="4" w:space="0" w:color="auto"/>
              <w:right w:val="single" w:sz="4" w:space="0" w:color="auto"/>
            </w:tcBorders>
            <w:vAlign w:val="center"/>
          </w:tcPr>
          <w:p w:rsidR="00FA05F9" w:rsidRPr="00431DD3" w:rsidRDefault="009B31E1" w:rsidP="00FA05F9">
            <w:pPr>
              <w:jc w:val="center"/>
              <w:rPr>
                <w:rFonts w:cs="Arial"/>
                <w:sz w:val="18"/>
                <w:szCs w:val="18"/>
              </w:rPr>
            </w:pPr>
            <w:r w:rsidRPr="00431DD3">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tcPr>
          <w:p w:rsidR="00FA05F9" w:rsidRPr="009930BF" w:rsidRDefault="009B31E1" w:rsidP="00FA05F9">
            <w:pPr>
              <w:jc w:val="center"/>
              <w:rPr>
                <w:rFonts w:cs="Arial"/>
                <w:color w:val="FF0000"/>
                <w:sz w:val="18"/>
                <w:szCs w:val="18"/>
              </w:rPr>
            </w:pPr>
            <w:r w:rsidRPr="009930BF">
              <w:rPr>
                <w:rFonts w:cs="Arial"/>
                <w:sz w:val="18"/>
                <w:szCs w:val="18"/>
              </w:rPr>
              <w:t>34.8%</w:t>
            </w:r>
          </w:p>
        </w:tc>
      </w:tr>
    </w:tbl>
    <w:p w:rsidR="00FA05F9" w:rsidRDefault="00FA05F9" w:rsidP="00FA05F9">
      <w:pPr>
        <w:contextualSpacing/>
        <w:rPr>
          <w:rFonts w:eastAsiaTheme="minorHAnsi" w:cs="Arial"/>
          <w:i/>
          <w:szCs w:val="24"/>
          <w:lang w:eastAsia="en-US"/>
        </w:rPr>
      </w:pPr>
    </w:p>
    <w:p w:rsidR="00FA05F9" w:rsidRDefault="009B31E1" w:rsidP="00FA05F9">
      <w:pPr>
        <w:contextualSpacing/>
        <w:rPr>
          <w:rFonts w:eastAsiaTheme="minorHAnsi" w:cs="Arial"/>
          <w:i/>
          <w:szCs w:val="24"/>
          <w:lang w:eastAsia="en-US"/>
        </w:rPr>
      </w:pPr>
      <w:r w:rsidRPr="00855528">
        <w:rPr>
          <w:rFonts w:eastAsiaTheme="minorHAnsi" w:cs="Arial"/>
          <w:i/>
          <w:szCs w:val="24"/>
          <w:lang w:eastAsia="en-US"/>
        </w:rPr>
        <w:lastRenderedPageBreak/>
        <w:t xml:space="preserve">Health </w:t>
      </w:r>
      <w:r w:rsidRPr="00EE3BCC">
        <w:rPr>
          <w:rFonts w:eastAsiaTheme="minorHAnsi" w:cs="Arial"/>
          <w:i/>
          <w:szCs w:val="24"/>
          <w:lang w:eastAsia="en-US"/>
        </w:rPr>
        <w:t>Checks</w:t>
      </w:r>
    </w:p>
    <w:p w:rsidR="00227E42" w:rsidRPr="00EE3BCC" w:rsidRDefault="00227E42" w:rsidP="00FA05F9">
      <w:pPr>
        <w:contextualSpacing/>
        <w:rPr>
          <w:rFonts w:eastAsiaTheme="minorHAnsi" w:cs="Arial"/>
          <w:i/>
          <w:szCs w:val="24"/>
          <w:lang w:eastAsia="en-US"/>
        </w:rPr>
      </w:pPr>
    </w:p>
    <w:p w:rsidR="00FA05F9" w:rsidRPr="00EE3BCC" w:rsidRDefault="009B31E1" w:rsidP="00227E42">
      <w:pPr>
        <w:contextualSpacing/>
        <w:jc w:val="both"/>
        <w:rPr>
          <w:rFonts w:eastAsiaTheme="minorHAnsi" w:cs="Arial"/>
          <w:i/>
          <w:szCs w:val="24"/>
          <w:lang w:eastAsia="en-US"/>
        </w:rPr>
      </w:pPr>
      <w:r w:rsidRPr="00EE3BCC">
        <w:rPr>
          <w:rFonts w:eastAsiaTheme="minorHAnsi" w:cs="Arial"/>
          <w:szCs w:val="24"/>
          <w:lang w:eastAsia="en-US"/>
        </w:rPr>
        <w:t xml:space="preserve">Across the lifetime of the NHS Health Check programme, 265,115 of the current eligible population aged 40 – 74 years of 352,052 have had an NHS Health Check which equates to 75.3%. Although the number of invites in quarter 1 of 2019/20 rose dramatically compared to the previous quarter </w:t>
      </w:r>
      <w:r>
        <w:rPr>
          <w:rFonts w:eastAsiaTheme="minorHAnsi" w:cs="Arial"/>
          <w:szCs w:val="24"/>
          <w:lang w:eastAsia="en-US"/>
        </w:rPr>
        <w:t xml:space="preserve">with </w:t>
      </w:r>
      <w:r w:rsidRPr="00EE3BCC">
        <w:t xml:space="preserve">the largest Clinical Commissioning Group </w:t>
      </w:r>
      <w:r w:rsidR="00227E42">
        <w:t>i</w:t>
      </w:r>
      <w:r w:rsidRPr="00EE3BCC">
        <w:t xml:space="preserve">n the county (East Lancashire) inviting 3,000 more than in the same quarter last year, the </w:t>
      </w:r>
      <w:r w:rsidRPr="00EE3BCC">
        <w:rPr>
          <w:rFonts w:eastAsiaTheme="minorHAnsi" w:cs="Arial"/>
          <w:szCs w:val="24"/>
          <w:lang w:eastAsia="en-US"/>
        </w:rPr>
        <w:t>number taking up appointments and the</w:t>
      </w:r>
      <w:r>
        <w:rPr>
          <w:rFonts w:eastAsiaTheme="minorHAnsi" w:cs="Arial"/>
          <w:szCs w:val="24"/>
          <w:lang w:eastAsia="en-US"/>
        </w:rPr>
        <w:t>refore the</w:t>
      </w:r>
      <w:r w:rsidRPr="00EE3BCC">
        <w:rPr>
          <w:rFonts w:eastAsiaTheme="minorHAnsi" w:cs="Arial"/>
          <w:szCs w:val="24"/>
          <w:lang w:eastAsia="en-US"/>
        </w:rPr>
        <w:t xml:space="preserve"> proportion having a health check of those offered both decreased. </w:t>
      </w:r>
    </w:p>
    <w:p w:rsidR="00FA05F9" w:rsidRPr="002D5D45" w:rsidRDefault="00FA05F9" w:rsidP="00227E42">
      <w:pPr>
        <w:jc w:val="both"/>
        <w:rPr>
          <w:rFonts w:eastAsiaTheme="minorHAnsi" w:cs="Arial"/>
          <w:i/>
          <w:szCs w:val="24"/>
          <w:lang w:eastAsia="en-US"/>
        </w:rPr>
      </w:pPr>
    </w:p>
    <w:p w:rsidR="00FA05F9" w:rsidRDefault="009B31E1" w:rsidP="00227E42">
      <w:pPr>
        <w:jc w:val="both"/>
        <w:rPr>
          <w:rFonts w:eastAsiaTheme="minorHAnsi" w:cs="Arial"/>
          <w:i/>
          <w:szCs w:val="24"/>
          <w:lang w:eastAsia="en-US"/>
        </w:rPr>
      </w:pPr>
      <w:r w:rsidRPr="009930BF">
        <w:rPr>
          <w:rFonts w:eastAsiaTheme="minorHAnsi" w:cs="Arial"/>
          <w:i/>
          <w:szCs w:val="24"/>
          <w:lang w:eastAsia="en-US"/>
        </w:rPr>
        <w:t xml:space="preserve">Alcohol </w:t>
      </w:r>
    </w:p>
    <w:p w:rsidR="00227E42" w:rsidRPr="009930BF" w:rsidRDefault="00227E42" w:rsidP="00227E42">
      <w:pPr>
        <w:jc w:val="both"/>
        <w:rPr>
          <w:rFonts w:eastAsiaTheme="minorHAnsi" w:cs="Arial"/>
          <w:i/>
          <w:szCs w:val="24"/>
          <w:lang w:eastAsia="en-US"/>
        </w:rPr>
      </w:pPr>
    </w:p>
    <w:p w:rsidR="00FA05F9" w:rsidRPr="009930BF" w:rsidRDefault="009B31E1" w:rsidP="00227E42">
      <w:pPr>
        <w:pStyle w:val="NoSpacing"/>
        <w:jc w:val="both"/>
        <w:rPr>
          <w:rFonts w:ascii="Arial" w:hAnsi="Arial" w:cs="Arial"/>
          <w:color w:val="FF0000"/>
          <w:sz w:val="24"/>
          <w:szCs w:val="24"/>
        </w:rPr>
      </w:pPr>
      <w:r w:rsidRPr="009930BF">
        <w:rPr>
          <w:rFonts w:ascii="Arial" w:hAnsi="Arial" w:cs="Arial"/>
          <w:sz w:val="24"/>
          <w:szCs w:val="24"/>
        </w:rPr>
        <w:t xml:space="preserve">Rolling data for the year from January to December 2018 published in June 2019 showed that the proportion of alcohol users that left alcohol </w:t>
      </w:r>
      <w:r w:rsidRPr="00711F06">
        <w:rPr>
          <w:rFonts w:ascii="Arial" w:hAnsi="Arial" w:cs="Arial"/>
          <w:sz w:val="24"/>
          <w:szCs w:val="24"/>
        </w:rPr>
        <w:t>treatment successfully who do not re-present to alcohol treatment within 6 months again decreased compared to the previous quarter and is still considerably higher than that nationally.</w:t>
      </w:r>
    </w:p>
    <w:p w:rsidR="00FA05F9" w:rsidRDefault="00FA05F9" w:rsidP="00227E42">
      <w:pPr>
        <w:jc w:val="both"/>
        <w:rPr>
          <w:rFonts w:cs="Arial"/>
          <w:i/>
          <w:szCs w:val="24"/>
        </w:rPr>
      </w:pPr>
    </w:p>
    <w:p w:rsidR="00FA05F9" w:rsidRDefault="009B31E1" w:rsidP="00227E42">
      <w:pPr>
        <w:jc w:val="both"/>
        <w:rPr>
          <w:rFonts w:cs="Arial"/>
          <w:i/>
          <w:szCs w:val="24"/>
        </w:rPr>
      </w:pPr>
      <w:r w:rsidRPr="009930BF">
        <w:rPr>
          <w:rFonts w:cs="Arial"/>
          <w:i/>
          <w:szCs w:val="24"/>
        </w:rPr>
        <w:t xml:space="preserve">Drug use </w:t>
      </w:r>
    </w:p>
    <w:p w:rsidR="00227E42" w:rsidRPr="009930BF" w:rsidRDefault="00227E42" w:rsidP="00227E42">
      <w:pPr>
        <w:jc w:val="both"/>
        <w:rPr>
          <w:rFonts w:cs="Arial"/>
          <w:i/>
          <w:szCs w:val="24"/>
        </w:rPr>
      </w:pPr>
    </w:p>
    <w:p w:rsidR="00FA05F9" w:rsidRDefault="009B31E1" w:rsidP="00227E42">
      <w:pPr>
        <w:jc w:val="both"/>
        <w:rPr>
          <w:rFonts w:cs="Arial"/>
          <w:szCs w:val="24"/>
        </w:rPr>
      </w:pPr>
      <w:r w:rsidRPr="009930BF">
        <w:rPr>
          <w:rFonts w:cs="Arial"/>
          <w:szCs w:val="24"/>
        </w:rPr>
        <w:t xml:space="preserve">Rolling data for the year from January to December </w:t>
      </w:r>
      <w:r w:rsidRPr="00711F06">
        <w:rPr>
          <w:rFonts w:cs="Arial"/>
          <w:szCs w:val="24"/>
        </w:rPr>
        <w:t xml:space="preserve">2018 published in June 2019 </w:t>
      </w:r>
      <w:r w:rsidR="00227E42">
        <w:rPr>
          <w:rFonts w:cs="Arial"/>
          <w:szCs w:val="24"/>
        </w:rPr>
        <w:t xml:space="preserve">showed </w:t>
      </w:r>
      <w:r w:rsidRPr="00711F06">
        <w:rPr>
          <w:rFonts w:cs="Arial"/>
          <w:szCs w:val="24"/>
        </w:rPr>
        <w:t>that the proportions of both opiate and non-opiate drug users that left drug treatment successfully who d</w:t>
      </w:r>
      <w:r w:rsidR="00227E42">
        <w:rPr>
          <w:rFonts w:cs="Arial"/>
          <w:szCs w:val="24"/>
        </w:rPr>
        <w:t>id</w:t>
      </w:r>
      <w:r w:rsidRPr="00711F06">
        <w:rPr>
          <w:rFonts w:cs="Arial"/>
          <w:szCs w:val="24"/>
        </w:rPr>
        <w:t xml:space="preserve"> not re-present to treatment within 6 months were lower when compared to the previous quarter</w:t>
      </w:r>
      <w:r w:rsidR="00227E42">
        <w:rPr>
          <w:rFonts w:cs="Arial"/>
          <w:szCs w:val="24"/>
        </w:rPr>
        <w:t>;</w:t>
      </w:r>
      <w:r w:rsidRPr="00711F06">
        <w:rPr>
          <w:rFonts w:cs="Arial"/>
          <w:szCs w:val="24"/>
        </w:rPr>
        <w:t xml:space="preserve"> however</w:t>
      </w:r>
      <w:r w:rsidR="00227E42">
        <w:rPr>
          <w:rFonts w:cs="Arial"/>
          <w:szCs w:val="24"/>
        </w:rPr>
        <w:t>,</w:t>
      </w:r>
      <w:r w:rsidRPr="00711F06">
        <w:rPr>
          <w:rFonts w:cs="Arial"/>
          <w:szCs w:val="24"/>
        </w:rPr>
        <w:t xml:space="preserve"> they were higher than those nationally.</w:t>
      </w:r>
    </w:p>
    <w:p w:rsidR="00FA05F9" w:rsidRDefault="00FA05F9" w:rsidP="00FA05F9">
      <w:pPr>
        <w:jc w:val="both"/>
        <w:rPr>
          <w:b/>
          <w:szCs w:val="24"/>
        </w:rPr>
      </w:pPr>
    </w:p>
    <w:p w:rsidR="00FA05F9" w:rsidRPr="008E3AF6" w:rsidRDefault="009B31E1" w:rsidP="00FA05F9">
      <w:pPr>
        <w:jc w:val="both"/>
        <w:rPr>
          <w:rFonts w:cs="Arial"/>
          <w:b/>
          <w:color w:val="FF0000"/>
          <w:szCs w:val="24"/>
        </w:rPr>
      </w:pPr>
      <w:r w:rsidRPr="008E3AF6">
        <w:rPr>
          <w:b/>
          <w:szCs w:val="24"/>
        </w:rPr>
        <w:t>Consultations</w:t>
      </w:r>
    </w:p>
    <w:p w:rsidR="00FA05F9" w:rsidRDefault="00FA05F9" w:rsidP="00FA05F9">
      <w:pPr>
        <w:rPr>
          <w:szCs w:val="24"/>
        </w:rPr>
      </w:pPr>
    </w:p>
    <w:p w:rsidR="00FA05F9" w:rsidRPr="00925E3D" w:rsidRDefault="009B31E1" w:rsidP="00FA05F9">
      <w:pPr>
        <w:rPr>
          <w:szCs w:val="24"/>
        </w:rPr>
      </w:pPr>
      <w:r w:rsidRPr="00925E3D">
        <w:rPr>
          <w:szCs w:val="24"/>
        </w:rPr>
        <w:t>Members of Management Team(s) have previously received the information in this report.</w:t>
      </w:r>
    </w:p>
    <w:p w:rsidR="00FA05F9" w:rsidRPr="00925E3D" w:rsidRDefault="00FA05F9" w:rsidP="00FA05F9">
      <w:pPr>
        <w:jc w:val="both"/>
        <w:rPr>
          <w:szCs w:val="24"/>
        </w:rPr>
      </w:pPr>
    </w:p>
    <w:p w:rsidR="00FA05F9" w:rsidRDefault="009B31E1" w:rsidP="00FA05F9">
      <w:pPr>
        <w:jc w:val="both"/>
        <w:rPr>
          <w:szCs w:val="24"/>
        </w:rPr>
      </w:pPr>
      <w:r w:rsidRPr="00925E3D">
        <w:rPr>
          <w:b/>
          <w:szCs w:val="24"/>
        </w:rPr>
        <w:t>Implications</w:t>
      </w:r>
      <w:r w:rsidRPr="00925E3D">
        <w:rPr>
          <w:szCs w:val="24"/>
        </w:rPr>
        <w:t>:</w:t>
      </w:r>
    </w:p>
    <w:p w:rsidR="00227E42" w:rsidRPr="00925E3D" w:rsidRDefault="00227E42" w:rsidP="00FA05F9">
      <w:pPr>
        <w:jc w:val="both"/>
        <w:rPr>
          <w:szCs w:val="24"/>
        </w:rPr>
      </w:pPr>
    </w:p>
    <w:p w:rsidR="00FA05F9" w:rsidRPr="00925E3D" w:rsidRDefault="009B31E1" w:rsidP="00FA05F9">
      <w:pPr>
        <w:rPr>
          <w:szCs w:val="24"/>
        </w:rPr>
      </w:pPr>
      <w:r w:rsidRPr="00925E3D">
        <w:rPr>
          <w:szCs w:val="24"/>
        </w:rPr>
        <w:t>This item has the following implications, as indicated:</w:t>
      </w:r>
    </w:p>
    <w:p w:rsidR="00FA05F9" w:rsidRPr="00925E3D" w:rsidRDefault="00FA05F9" w:rsidP="00FA05F9">
      <w:pPr>
        <w:jc w:val="both"/>
        <w:rPr>
          <w:b/>
          <w:szCs w:val="24"/>
        </w:rPr>
      </w:pPr>
    </w:p>
    <w:p w:rsidR="00FA05F9" w:rsidRDefault="009B31E1" w:rsidP="00FA05F9">
      <w:pPr>
        <w:jc w:val="both"/>
        <w:rPr>
          <w:b/>
          <w:szCs w:val="24"/>
        </w:rPr>
      </w:pPr>
      <w:r w:rsidRPr="00925E3D">
        <w:rPr>
          <w:b/>
          <w:szCs w:val="24"/>
        </w:rPr>
        <w:t>Risk management</w:t>
      </w:r>
    </w:p>
    <w:p w:rsidR="00227E42" w:rsidRPr="00925E3D" w:rsidRDefault="00227E42" w:rsidP="00FA05F9">
      <w:pPr>
        <w:jc w:val="both"/>
        <w:rPr>
          <w:b/>
          <w:szCs w:val="24"/>
        </w:rPr>
      </w:pPr>
    </w:p>
    <w:p w:rsidR="00FA05F9" w:rsidRPr="00925E3D" w:rsidRDefault="009B31E1" w:rsidP="00FA05F9">
      <w:pPr>
        <w:rPr>
          <w:szCs w:val="24"/>
        </w:rPr>
      </w:pPr>
      <w:r w:rsidRPr="00925E3D">
        <w:rPr>
          <w:szCs w:val="24"/>
        </w:rPr>
        <w:t>No significant risks have been identified in relation to the proposals contained within this report.</w:t>
      </w:r>
    </w:p>
    <w:p w:rsidR="00FA05F9" w:rsidRPr="00925E3D" w:rsidRDefault="00FA05F9" w:rsidP="00FA05F9">
      <w:pPr>
        <w:jc w:val="both"/>
        <w:rPr>
          <w:szCs w:val="24"/>
        </w:rPr>
      </w:pPr>
    </w:p>
    <w:p w:rsidR="00FA05F9" w:rsidRPr="00925E3D" w:rsidRDefault="009B31E1" w:rsidP="00FA05F9">
      <w:pPr>
        <w:jc w:val="both"/>
        <w:rPr>
          <w:b/>
          <w:szCs w:val="24"/>
        </w:rPr>
      </w:pPr>
      <w:r w:rsidRPr="00925E3D">
        <w:rPr>
          <w:b/>
          <w:szCs w:val="24"/>
        </w:rPr>
        <w:t>Local Government (Access to Information) Act 1985</w:t>
      </w:r>
    </w:p>
    <w:p w:rsidR="00FA05F9" w:rsidRPr="00925E3D" w:rsidRDefault="00FA05F9" w:rsidP="00FA05F9">
      <w:pPr>
        <w:jc w:val="both"/>
        <w:rPr>
          <w:b/>
          <w:szCs w:val="24"/>
        </w:rPr>
      </w:pPr>
    </w:p>
    <w:p w:rsidR="00FA05F9" w:rsidRPr="00925E3D" w:rsidRDefault="009B31E1" w:rsidP="00FA05F9">
      <w:pPr>
        <w:pStyle w:val="Heading5"/>
        <w:rPr>
          <w:rFonts w:ascii="Arial" w:hAnsi="Arial"/>
          <w:szCs w:val="24"/>
          <w:u w:val="none"/>
        </w:rPr>
      </w:pPr>
      <w:r w:rsidRPr="00925E3D">
        <w:rPr>
          <w:rFonts w:ascii="Arial" w:hAnsi="Arial"/>
          <w:szCs w:val="24"/>
          <w:u w:val="none"/>
        </w:rPr>
        <w:t>List of Background Papers</w:t>
      </w:r>
    </w:p>
    <w:p w:rsidR="00FA05F9" w:rsidRPr="00925E3D" w:rsidRDefault="00FA05F9" w:rsidP="00FA05F9">
      <w:pPr>
        <w:pStyle w:val="NoSpacing"/>
        <w:rPr>
          <w:sz w:val="24"/>
          <w:szCs w:val="24"/>
        </w:rPr>
      </w:pPr>
    </w:p>
    <w:tbl>
      <w:tblPr>
        <w:tblW w:w="0" w:type="auto"/>
        <w:tblLayout w:type="fixed"/>
        <w:tblLook w:val="0000" w:firstRow="0" w:lastRow="0" w:firstColumn="0" w:lastColumn="0" w:noHBand="0" w:noVBand="0"/>
      </w:tblPr>
      <w:tblGrid>
        <w:gridCol w:w="3227"/>
        <w:gridCol w:w="2775"/>
        <w:gridCol w:w="3178"/>
      </w:tblGrid>
      <w:tr w:rsidR="00227E42" w:rsidRPr="009F2DBF" w:rsidTr="00DD6FBF">
        <w:trPr>
          <w:trHeight w:val="113"/>
        </w:trPr>
        <w:tc>
          <w:tcPr>
            <w:tcW w:w="3227" w:type="dxa"/>
          </w:tcPr>
          <w:p w:rsidR="00227E42" w:rsidRPr="009F2DBF" w:rsidRDefault="00227E42" w:rsidP="00DD6FBF">
            <w:pPr>
              <w:keepNext/>
              <w:jc w:val="both"/>
              <w:outlineLvl w:val="6"/>
              <w:rPr>
                <w:rFonts w:cs="Arial"/>
                <w:szCs w:val="24"/>
              </w:rPr>
            </w:pPr>
            <w:r w:rsidRPr="009F2DBF">
              <w:rPr>
                <w:rFonts w:cs="Arial"/>
                <w:szCs w:val="24"/>
              </w:rPr>
              <w:t>Paper</w:t>
            </w:r>
          </w:p>
        </w:tc>
        <w:tc>
          <w:tcPr>
            <w:tcW w:w="2775" w:type="dxa"/>
          </w:tcPr>
          <w:p w:rsidR="00227E42" w:rsidRPr="009F2DBF" w:rsidRDefault="00227E42" w:rsidP="00DD6FBF">
            <w:pPr>
              <w:keepNext/>
              <w:jc w:val="both"/>
              <w:outlineLvl w:val="6"/>
              <w:rPr>
                <w:rFonts w:cs="Arial"/>
                <w:szCs w:val="24"/>
              </w:rPr>
            </w:pPr>
            <w:r w:rsidRPr="009F2DBF">
              <w:rPr>
                <w:rFonts w:cs="Arial"/>
                <w:szCs w:val="24"/>
              </w:rPr>
              <w:t>Date</w:t>
            </w:r>
          </w:p>
        </w:tc>
        <w:tc>
          <w:tcPr>
            <w:tcW w:w="3178" w:type="dxa"/>
          </w:tcPr>
          <w:p w:rsidR="00227E42" w:rsidRPr="009F2DBF" w:rsidRDefault="00227E42" w:rsidP="00DD6FBF">
            <w:pPr>
              <w:keepNext/>
              <w:jc w:val="both"/>
              <w:outlineLvl w:val="6"/>
              <w:rPr>
                <w:rFonts w:cs="Arial"/>
                <w:szCs w:val="24"/>
              </w:rPr>
            </w:pPr>
            <w:r w:rsidRPr="009F2DBF">
              <w:rPr>
                <w:rFonts w:cs="Arial"/>
                <w:szCs w:val="24"/>
              </w:rPr>
              <w:t>Contact/Tel</w:t>
            </w:r>
          </w:p>
        </w:tc>
      </w:tr>
    </w:tbl>
    <w:p w:rsidR="00227E42" w:rsidRDefault="00227E42" w:rsidP="00FA05F9">
      <w:pPr>
        <w:spacing w:after="200"/>
        <w:jc w:val="both"/>
        <w:rPr>
          <w:rFonts w:cs="Arial"/>
          <w:szCs w:val="24"/>
        </w:rPr>
      </w:pPr>
    </w:p>
    <w:p w:rsidR="00FA05F9" w:rsidRDefault="009B31E1" w:rsidP="00FA05F9">
      <w:pPr>
        <w:spacing w:after="200"/>
        <w:jc w:val="both"/>
        <w:rPr>
          <w:rFonts w:cs="Arial"/>
          <w:szCs w:val="24"/>
        </w:rPr>
      </w:pPr>
      <w:r w:rsidRPr="00925E3D">
        <w:rPr>
          <w:rFonts w:cs="Arial"/>
          <w:szCs w:val="24"/>
        </w:rPr>
        <w:t>None</w:t>
      </w:r>
    </w:p>
    <w:p w:rsidR="00227E42" w:rsidRDefault="00227E42" w:rsidP="00FA05F9">
      <w:pPr>
        <w:spacing w:after="200"/>
        <w:jc w:val="both"/>
        <w:rPr>
          <w:rFonts w:cs="Arial"/>
          <w:szCs w:val="24"/>
        </w:rPr>
      </w:pPr>
      <w:r>
        <w:rPr>
          <w:rFonts w:cs="Arial"/>
          <w:szCs w:val="24"/>
        </w:rPr>
        <w:t>Reason for inclusion in Part II, if appropriate</w:t>
      </w:r>
    </w:p>
    <w:p w:rsidR="00227E42" w:rsidRPr="00925E3D" w:rsidRDefault="00227E42" w:rsidP="00FA05F9">
      <w:pPr>
        <w:spacing w:after="200"/>
        <w:jc w:val="both"/>
        <w:rPr>
          <w:rFonts w:cs="Arial"/>
          <w:szCs w:val="24"/>
        </w:rPr>
      </w:pPr>
      <w:r>
        <w:rPr>
          <w:rFonts w:cs="Arial"/>
          <w:szCs w:val="24"/>
        </w:rPr>
        <w:t>N/A</w:t>
      </w:r>
    </w:p>
    <w:p w:rsidR="00FA05F9" w:rsidRDefault="009B31E1" w:rsidP="00FA05F9">
      <w:pPr>
        <w:pStyle w:val="Heading1"/>
        <w:rPr>
          <w:szCs w:val="24"/>
        </w:rPr>
      </w:pPr>
      <w:r>
        <w:rPr>
          <w:szCs w:val="24"/>
        </w:rPr>
        <w:lastRenderedPageBreak/>
        <w:t xml:space="preserve">                                                                                                                                        </w:t>
      </w:r>
      <w:r w:rsidRPr="00E95CE8">
        <w:rPr>
          <w:szCs w:val="24"/>
        </w:rPr>
        <w:t xml:space="preserve">             </w:t>
      </w:r>
    </w:p>
    <w:p w:rsidR="00FA05F9" w:rsidRPr="003543EA" w:rsidRDefault="009B31E1" w:rsidP="00FA05F9">
      <w:pPr>
        <w:pStyle w:val="Heading1"/>
        <w:rPr>
          <w:szCs w:val="24"/>
        </w:rPr>
      </w:pPr>
      <w:r w:rsidRPr="00E95CE8">
        <w:rPr>
          <w:szCs w:val="24"/>
        </w:rPr>
        <w:t xml:space="preserve"> </w:t>
      </w:r>
      <w:r>
        <w:rPr>
          <w:szCs w:val="24"/>
        </w:rPr>
        <w:t xml:space="preserve">                                                                                                                                                      </w:t>
      </w:r>
      <w:r w:rsidRPr="00E95CE8">
        <w:rPr>
          <w:szCs w:val="24"/>
        </w:rPr>
        <w:t xml:space="preserve">                                                </w:t>
      </w:r>
      <w:r>
        <w:rPr>
          <w:szCs w:val="24"/>
        </w:rPr>
        <w:t xml:space="preserve">       </w:t>
      </w:r>
    </w:p>
    <w:sectPr w:rsidR="00FA05F9" w:rsidRPr="003543EA" w:rsidSect="00FA05F9">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F9" w:rsidRDefault="00FA05F9">
      <w:r>
        <w:separator/>
      </w:r>
    </w:p>
  </w:endnote>
  <w:endnote w:type="continuationSeparator" w:id="0">
    <w:p w:rsidR="00FA05F9" w:rsidRDefault="00FA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05F9">
      <w:tc>
        <w:tcPr>
          <w:tcW w:w="9243" w:type="dxa"/>
          <w:tcBorders>
            <w:top w:val="nil"/>
            <w:left w:val="nil"/>
            <w:bottom w:val="nil"/>
            <w:right w:val="nil"/>
          </w:tcBorders>
        </w:tcPr>
        <w:p w:rsidR="00FA05F9" w:rsidRDefault="00FA05F9">
          <w:pPr>
            <w:pStyle w:val="Footer"/>
            <w:tabs>
              <w:tab w:val="clear" w:pos="4153"/>
            </w:tabs>
            <w:ind w:right="-45"/>
            <w:jc w:val="right"/>
          </w:pPr>
        </w:p>
      </w:tc>
    </w:tr>
  </w:tbl>
  <w:p w:rsidR="00FA05F9" w:rsidRDefault="00FA05F9">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05F9">
      <w:tc>
        <w:tcPr>
          <w:tcW w:w="9243" w:type="dxa"/>
          <w:tcBorders>
            <w:top w:val="nil"/>
            <w:left w:val="nil"/>
            <w:bottom w:val="nil"/>
            <w:right w:val="nil"/>
          </w:tcBorders>
        </w:tcPr>
        <w:p w:rsidR="00FA05F9" w:rsidRDefault="00FA05F9">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891983"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FA05F9" w:rsidRDefault="00FA05F9">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F9" w:rsidRDefault="00FA05F9">
      <w:r>
        <w:separator/>
      </w:r>
    </w:p>
  </w:footnote>
  <w:footnote w:type="continuationSeparator" w:id="0">
    <w:p w:rsidR="00FA05F9" w:rsidRDefault="00FA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F9" w:rsidRDefault="00FA05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805"/>
    <w:multiLevelType w:val="hybridMultilevel"/>
    <w:tmpl w:val="50A42310"/>
    <w:lvl w:ilvl="0" w:tplc="A67C8CFC">
      <w:start w:val="1"/>
      <w:numFmt w:val="bullet"/>
      <w:lvlText w:val=""/>
      <w:lvlJc w:val="left"/>
      <w:pPr>
        <w:ind w:left="720" w:hanging="360"/>
      </w:pPr>
      <w:rPr>
        <w:rFonts w:ascii="Symbol" w:hAnsi="Symbol" w:hint="default"/>
        <w:color w:val="auto"/>
      </w:rPr>
    </w:lvl>
    <w:lvl w:ilvl="1" w:tplc="2954C68C" w:tentative="1">
      <w:start w:val="1"/>
      <w:numFmt w:val="bullet"/>
      <w:lvlText w:val="o"/>
      <w:lvlJc w:val="left"/>
      <w:pPr>
        <w:ind w:left="1440" w:hanging="360"/>
      </w:pPr>
      <w:rPr>
        <w:rFonts w:ascii="Courier New" w:hAnsi="Courier New" w:cs="Courier New" w:hint="default"/>
      </w:rPr>
    </w:lvl>
    <w:lvl w:ilvl="2" w:tplc="6C264EDE" w:tentative="1">
      <w:start w:val="1"/>
      <w:numFmt w:val="bullet"/>
      <w:lvlText w:val=""/>
      <w:lvlJc w:val="left"/>
      <w:pPr>
        <w:ind w:left="2160" w:hanging="360"/>
      </w:pPr>
      <w:rPr>
        <w:rFonts w:ascii="Wingdings" w:hAnsi="Wingdings" w:hint="default"/>
      </w:rPr>
    </w:lvl>
    <w:lvl w:ilvl="3" w:tplc="FBE8B110" w:tentative="1">
      <w:start w:val="1"/>
      <w:numFmt w:val="bullet"/>
      <w:lvlText w:val=""/>
      <w:lvlJc w:val="left"/>
      <w:pPr>
        <w:ind w:left="2880" w:hanging="360"/>
      </w:pPr>
      <w:rPr>
        <w:rFonts w:ascii="Symbol" w:hAnsi="Symbol" w:hint="default"/>
      </w:rPr>
    </w:lvl>
    <w:lvl w:ilvl="4" w:tplc="68748744" w:tentative="1">
      <w:start w:val="1"/>
      <w:numFmt w:val="bullet"/>
      <w:lvlText w:val="o"/>
      <w:lvlJc w:val="left"/>
      <w:pPr>
        <w:ind w:left="3600" w:hanging="360"/>
      </w:pPr>
      <w:rPr>
        <w:rFonts w:ascii="Courier New" w:hAnsi="Courier New" w:cs="Courier New" w:hint="default"/>
      </w:rPr>
    </w:lvl>
    <w:lvl w:ilvl="5" w:tplc="B3E286F6" w:tentative="1">
      <w:start w:val="1"/>
      <w:numFmt w:val="bullet"/>
      <w:lvlText w:val=""/>
      <w:lvlJc w:val="left"/>
      <w:pPr>
        <w:ind w:left="4320" w:hanging="360"/>
      </w:pPr>
      <w:rPr>
        <w:rFonts w:ascii="Wingdings" w:hAnsi="Wingdings" w:hint="default"/>
      </w:rPr>
    </w:lvl>
    <w:lvl w:ilvl="6" w:tplc="3244CDF2" w:tentative="1">
      <w:start w:val="1"/>
      <w:numFmt w:val="bullet"/>
      <w:lvlText w:val=""/>
      <w:lvlJc w:val="left"/>
      <w:pPr>
        <w:ind w:left="5040" w:hanging="360"/>
      </w:pPr>
      <w:rPr>
        <w:rFonts w:ascii="Symbol" w:hAnsi="Symbol" w:hint="default"/>
      </w:rPr>
    </w:lvl>
    <w:lvl w:ilvl="7" w:tplc="31B2E494" w:tentative="1">
      <w:start w:val="1"/>
      <w:numFmt w:val="bullet"/>
      <w:lvlText w:val="o"/>
      <w:lvlJc w:val="left"/>
      <w:pPr>
        <w:ind w:left="5760" w:hanging="360"/>
      </w:pPr>
      <w:rPr>
        <w:rFonts w:ascii="Courier New" w:hAnsi="Courier New" w:cs="Courier New" w:hint="default"/>
      </w:rPr>
    </w:lvl>
    <w:lvl w:ilvl="8" w:tplc="85AEE7B8"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6C8A6442">
      <w:start w:val="1"/>
      <w:numFmt w:val="bullet"/>
      <w:lvlText w:val=""/>
      <w:lvlJc w:val="left"/>
      <w:pPr>
        <w:ind w:left="720" w:hanging="360"/>
      </w:pPr>
      <w:rPr>
        <w:rFonts w:ascii="Symbol" w:hAnsi="Symbol" w:hint="default"/>
        <w:color w:val="auto"/>
      </w:rPr>
    </w:lvl>
    <w:lvl w:ilvl="1" w:tplc="A6FCA4F6" w:tentative="1">
      <w:start w:val="1"/>
      <w:numFmt w:val="bullet"/>
      <w:lvlText w:val="o"/>
      <w:lvlJc w:val="left"/>
      <w:pPr>
        <w:ind w:left="1440" w:hanging="360"/>
      </w:pPr>
      <w:rPr>
        <w:rFonts w:ascii="Courier New" w:hAnsi="Courier New" w:cs="Courier New" w:hint="default"/>
      </w:rPr>
    </w:lvl>
    <w:lvl w:ilvl="2" w:tplc="23468A58" w:tentative="1">
      <w:start w:val="1"/>
      <w:numFmt w:val="bullet"/>
      <w:lvlText w:val=""/>
      <w:lvlJc w:val="left"/>
      <w:pPr>
        <w:ind w:left="2160" w:hanging="360"/>
      </w:pPr>
      <w:rPr>
        <w:rFonts w:ascii="Wingdings" w:hAnsi="Wingdings" w:hint="default"/>
      </w:rPr>
    </w:lvl>
    <w:lvl w:ilvl="3" w:tplc="D892E932" w:tentative="1">
      <w:start w:val="1"/>
      <w:numFmt w:val="bullet"/>
      <w:lvlText w:val=""/>
      <w:lvlJc w:val="left"/>
      <w:pPr>
        <w:ind w:left="2880" w:hanging="360"/>
      </w:pPr>
      <w:rPr>
        <w:rFonts w:ascii="Symbol" w:hAnsi="Symbol" w:hint="default"/>
      </w:rPr>
    </w:lvl>
    <w:lvl w:ilvl="4" w:tplc="DA3CDBEC" w:tentative="1">
      <w:start w:val="1"/>
      <w:numFmt w:val="bullet"/>
      <w:lvlText w:val="o"/>
      <w:lvlJc w:val="left"/>
      <w:pPr>
        <w:ind w:left="3600" w:hanging="360"/>
      </w:pPr>
      <w:rPr>
        <w:rFonts w:ascii="Courier New" w:hAnsi="Courier New" w:cs="Courier New" w:hint="default"/>
      </w:rPr>
    </w:lvl>
    <w:lvl w:ilvl="5" w:tplc="A75AAC1C" w:tentative="1">
      <w:start w:val="1"/>
      <w:numFmt w:val="bullet"/>
      <w:lvlText w:val=""/>
      <w:lvlJc w:val="left"/>
      <w:pPr>
        <w:ind w:left="4320" w:hanging="360"/>
      </w:pPr>
      <w:rPr>
        <w:rFonts w:ascii="Wingdings" w:hAnsi="Wingdings" w:hint="default"/>
      </w:rPr>
    </w:lvl>
    <w:lvl w:ilvl="6" w:tplc="32704D6A" w:tentative="1">
      <w:start w:val="1"/>
      <w:numFmt w:val="bullet"/>
      <w:lvlText w:val=""/>
      <w:lvlJc w:val="left"/>
      <w:pPr>
        <w:ind w:left="5040" w:hanging="360"/>
      </w:pPr>
      <w:rPr>
        <w:rFonts w:ascii="Symbol" w:hAnsi="Symbol" w:hint="default"/>
      </w:rPr>
    </w:lvl>
    <w:lvl w:ilvl="7" w:tplc="5158F696" w:tentative="1">
      <w:start w:val="1"/>
      <w:numFmt w:val="bullet"/>
      <w:lvlText w:val="o"/>
      <w:lvlJc w:val="left"/>
      <w:pPr>
        <w:ind w:left="5760" w:hanging="360"/>
      </w:pPr>
      <w:rPr>
        <w:rFonts w:ascii="Courier New" w:hAnsi="Courier New" w:cs="Courier New" w:hint="default"/>
      </w:rPr>
    </w:lvl>
    <w:lvl w:ilvl="8" w:tplc="8320EE62"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62D05D6C">
      <w:start w:val="1"/>
      <w:numFmt w:val="bullet"/>
      <w:lvlText w:val=""/>
      <w:lvlJc w:val="left"/>
      <w:pPr>
        <w:ind w:left="720" w:hanging="360"/>
      </w:pPr>
      <w:rPr>
        <w:rFonts w:ascii="Symbol" w:hAnsi="Symbol" w:hint="default"/>
      </w:rPr>
    </w:lvl>
    <w:lvl w:ilvl="1" w:tplc="76228BD4" w:tentative="1">
      <w:start w:val="1"/>
      <w:numFmt w:val="bullet"/>
      <w:lvlText w:val="o"/>
      <w:lvlJc w:val="left"/>
      <w:pPr>
        <w:ind w:left="1440" w:hanging="360"/>
      </w:pPr>
      <w:rPr>
        <w:rFonts w:ascii="Courier New" w:hAnsi="Courier New" w:cs="Courier New" w:hint="default"/>
      </w:rPr>
    </w:lvl>
    <w:lvl w:ilvl="2" w:tplc="DF660912" w:tentative="1">
      <w:start w:val="1"/>
      <w:numFmt w:val="bullet"/>
      <w:lvlText w:val=""/>
      <w:lvlJc w:val="left"/>
      <w:pPr>
        <w:ind w:left="2160" w:hanging="360"/>
      </w:pPr>
      <w:rPr>
        <w:rFonts w:ascii="Wingdings" w:hAnsi="Wingdings" w:hint="default"/>
      </w:rPr>
    </w:lvl>
    <w:lvl w:ilvl="3" w:tplc="42B47A28" w:tentative="1">
      <w:start w:val="1"/>
      <w:numFmt w:val="bullet"/>
      <w:lvlText w:val=""/>
      <w:lvlJc w:val="left"/>
      <w:pPr>
        <w:ind w:left="2880" w:hanging="360"/>
      </w:pPr>
      <w:rPr>
        <w:rFonts w:ascii="Symbol" w:hAnsi="Symbol" w:hint="default"/>
      </w:rPr>
    </w:lvl>
    <w:lvl w:ilvl="4" w:tplc="AE20A6CA" w:tentative="1">
      <w:start w:val="1"/>
      <w:numFmt w:val="bullet"/>
      <w:lvlText w:val="o"/>
      <w:lvlJc w:val="left"/>
      <w:pPr>
        <w:ind w:left="3600" w:hanging="360"/>
      </w:pPr>
      <w:rPr>
        <w:rFonts w:ascii="Courier New" w:hAnsi="Courier New" w:cs="Courier New" w:hint="default"/>
      </w:rPr>
    </w:lvl>
    <w:lvl w:ilvl="5" w:tplc="12FCB086" w:tentative="1">
      <w:start w:val="1"/>
      <w:numFmt w:val="bullet"/>
      <w:lvlText w:val=""/>
      <w:lvlJc w:val="left"/>
      <w:pPr>
        <w:ind w:left="4320" w:hanging="360"/>
      </w:pPr>
      <w:rPr>
        <w:rFonts w:ascii="Wingdings" w:hAnsi="Wingdings" w:hint="default"/>
      </w:rPr>
    </w:lvl>
    <w:lvl w:ilvl="6" w:tplc="82D81B42" w:tentative="1">
      <w:start w:val="1"/>
      <w:numFmt w:val="bullet"/>
      <w:lvlText w:val=""/>
      <w:lvlJc w:val="left"/>
      <w:pPr>
        <w:ind w:left="5040" w:hanging="360"/>
      </w:pPr>
      <w:rPr>
        <w:rFonts w:ascii="Symbol" w:hAnsi="Symbol" w:hint="default"/>
      </w:rPr>
    </w:lvl>
    <w:lvl w:ilvl="7" w:tplc="13CE07F4" w:tentative="1">
      <w:start w:val="1"/>
      <w:numFmt w:val="bullet"/>
      <w:lvlText w:val="o"/>
      <w:lvlJc w:val="left"/>
      <w:pPr>
        <w:ind w:left="5760" w:hanging="360"/>
      </w:pPr>
      <w:rPr>
        <w:rFonts w:ascii="Courier New" w:hAnsi="Courier New" w:cs="Courier New" w:hint="default"/>
      </w:rPr>
    </w:lvl>
    <w:lvl w:ilvl="8" w:tplc="94CCE452"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B3DEE4AA">
      <w:start w:val="1"/>
      <w:numFmt w:val="bullet"/>
      <w:lvlText w:val=""/>
      <w:lvlJc w:val="left"/>
      <w:pPr>
        <w:ind w:left="720" w:hanging="360"/>
      </w:pPr>
      <w:rPr>
        <w:rFonts w:ascii="Symbol" w:hAnsi="Symbol" w:hint="default"/>
      </w:rPr>
    </w:lvl>
    <w:lvl w:ilvl="1" w:tplc="DFBCD61C" w:tentative="1">
      <w:start w:val="1"/>
      <w:numFmt w:val="bullet"/>
      <w:lvlText w:val="o"/>
      <w:lvlJc w:val="left"/>
      <w:pPr>
        <w:ind w:left="1440" w:hanging="360"/>
      </w:pPr>
      <w:rPr>
        <w:rFonts w:ascii="Courier New" w:hAnsi="Courier New" w:cs="Courier New" w:hint="default"/>
      </w:rPr>
    </w:lvl>
    <w:lvl w:ilvl="2" w:tplc="AC525520" w:tentative="1">
      <w:start w:val="1"/>
      <w:numFmt w:val="bullet"/>
      <w:lvlText w:val=""/>
      <w:lvlJc w:val="left"/>
      <w:pPr>
        <w:ind w:left="2160" w:hanging="360"/>
      </w:pPr>
      <w:rPr>
        <w:rFonts w:ascii="Wingdings" w:hAnsi="Wingdings" w:hint="default"/>
      </w:rPr>
    </w:lvl>
    <w:lvl w:ilvl="3" w:tplc="2DC2F674" w:tentative="1">
      <w:start w:val="1"/>
      <w:numFmt w:val="bullet"/>
      <w:lvlText w:val=""/>
      <w:lvlJc w:val="left"/>
      <w:pPr>
        <w:ind w:left="2880" w:hanging="360"/>
      </w:pPr>
      <w:rPr>
        <w:rFonts w:ascii="Symbol" w:hAnsi="Symbol" w:hint="default"/>
      </w:rPr>
    </w:lvl>
    <w:lvl w:ilvl="4" w:tplc="5F4C7F66" w:tentative="1">
      <w:start w:val="1"/>
      <w:numFmt w:val="bullet"/>
      <w:lvlText w:val="o"/>
      <w:lvlJc w:val="left"/>
      <w:pPr>
        <w:ind w:left="3600" w:hanging="360"/>
      </w:pPr>
      <w:rPr>
        <w:rFonts w:ascii="Courier New" w:hAnsi="Courier New" w:cs="Courier New" w:hint="default"/>
      </w:rPr>
    </w:lvl>
    <w:lvl w:ilvl="5" w:tplc="E0328312" w:tentative="1">
      <w:start w:val="1"/>
      <w:numFmt w:val="bullet"/>
      <w:lvlText w:val=""/>
      <w:lvlJc w:val="left"/>
      <w:pPr>
        <w:ind w:left="4320" w:hanging="360"/>
      </w:pPr>
      <w:rPr>
        <w:rFonts w:ascii="Wingdings" w:hAnsi="Wingdings" w:hint="default"/>
      </w:rPr>
    </w:lvl>
    <w:lvl w:ilvl="6" w:tplc="AEEC3D84" w:tentative="1">
      <w:start w:val="1"/>
      <w:numFmt w:val="bullet"/>
      <w:lvlText w:val=""/>
      <w:lvlJc w:val="left"/>
      <w:pPr>
        <w:ind w:left="5040" w:hanging="360"/>
      </w:pPr>
      <w:rPr>
        <w:rFonts w:ascii="Symbol" w:hAnsi="Symbol" w:hint="default"/>
      </w:rPr>
    </w:lvl>
    <w:lvl w:ilvl="7" w:tplc="503ECA0E" w:tentative="1">
      <w:start w:val="1"/>
      <w:numFmt w:val="bullet"/>
      <w:lvlText w:val="o"/>
      <w:lvlJc w:val="left"/>
      <w:pPr>
        <w:ind w:left="5760" w:hanging="360"/>
      </w:pPr>
      <w:rPr>
        <w:rFonts w:ascii="Courier New" w:hAnsi="Courier New" w:cs="Courier New" w:hint="default"/>
      </w:rPr>
    </w:lvl>
    <w:lvl w:ilvl="8" w:tplc="F432ED00"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BEF2EC7C">
      <w:start w:val="1"/>
      <w:numFmt w:val="bullet"/>
      <w:lvlText w:val=""/>
      <w:lvlJc w:val="left"/>
      <w:pPr>
        <w:ind w:left="720" w:hanging="360"/>
      </w:pPr>
      <w:rPr>
        <w:rFonts w:ascii="Symbol" w:hAnsi="Symbol" w:hint="default"/>
      </w:rPr>
    </w:lvl>
    <w:lvl w:ilvl="1" w:tplc="DC3CA498" w:tentative="1">
      <w:start w:val="1"/>
      <w:numFmt w:val="bullet"/>
      <w:lvlText w:val="o"/>
      <w:lvlJc w:val="left"/>
      <w:pPr>
        <w:ind w:left="1440" w:hanging="360"/>
      </w:pPr>
      <w:rPr>
        <w:rFonts w:ascii="Courier New" w:hAnsi="Courier New" w:cs="Courier New" w:hint="default"/>
      </w:rPr>
    </w:lvl>
    <w:lvl w:ilvl="2" w:tplc="EC700A08" w:tentative="1">
      <w:start w:val="1"/>
      <w:numFmt w:val="bullet"/>
      <w:lvlText w:val=""/>
      <w:lvlJc w:val="left"/>
      <w:pPr>
        <w:ind w:left="2160" w:hanging="360"/>
      </w:pPr>
      <w:rPr>
        <w:rFonts w:ascii="Wingdings" w:hAnsi="Wingdings" w:hint="default"/>
      </w:rPr>
    </w:lvl>
    <w:lvl w:ilvl="3" w:tplc="34F61FAE" w:tentative="1">
      <w:start w:val="1"/>
      <w:numFmt w:val="bullet"/>
      <w:lvlText w:val=""/>
      <w:lvlJc w:val="left"/>
      <w:pPr>
        <w:ind w:left="2880" w:hanging="360"/>
      </w:pPr>
      <w:rPr>
        <w:rFonts w:ascii="Symbol" w:hAnsi="Symbol" w:hint="default"/>
      </w:rPr>
    </w:lvl>
    <w:lvl w:ilvl="4" w:tplc="BB5E8688" w:tentative="1">
      <w:start w:val="1"/>
      <w:numFmt w:val="bullet"/>
      <w:lvlText w:val="o"/>
      <w:lvlJc w:val="left"/>
      <w:pPr>
        <w:ind w:left="3600" w:hanging="360"/>
      </w:pPr>
      <w:rPr>
        <w:rFonts w:ascii="Courier New" w:hAnsi="Courier New" w:cs="Courier New" w:hint="default"/>
      </w:rPr>
    </w:lvl>
    <w:lvl w:ilvl="5" w:tplc="B88A1900" w:tentative="1">
      <w:start w:val="1"/>
      <w:numFmt w:val="bullet"/>
      <w:lvlText w:val=""/>
      <w:lvlJc w:val="left"/>
      <w:pPr>
        <w:ind w:left="4320" w:hanging="360"/>
      </w:pPr>
      <w:rPr>
        <w:rFonts w:ascii="Wingdings" w:hAnsi="Wingdings" w:hint="default"/>
      </w:rPr>
    </w:lvl>
    <w:lvl w:ilvl="6" w:tplc="95962582" w:tentative="1">
      <w:start w:val="1"/>
      <w:numFmt w:val="bullet"/>
      <w:lvlText w:val=""/>
      <w:lvlJc w:val="left"/>
      <w:pPr>
        <w:ind w:left="5040" w:hanging="360"/>
      </w:pPr>
      <w:rPr>
        <w:rFonts w:ascii="Symbol" w:hAnsi="Symbol" w:hint="default"/>
      </w:rPr>
    </w:lvl>
    <w:lvl w:ilvl="7" w:tplc="627215D4" w:tentative="1">
      <w:start w:val="1"/>
      <w:numFmt w:val="bullet"/>
      <w:lvlText w:val="o"/>
      <w:lvlJc w:val="left"/>
      <w:pPr>
        <w:ind w:left="5760" w:hanging="360"/>
      </w:pPr>
      <w:rPr>
        <w:rFonts w:ascii="Courier New" w:hAnsi="Courier New" w:cs="Courier New" w:hint="default"/>
      </w:rPr>
    </w:lvl>
    <w:lvl w:ilvl="8" w:tplc="D822530C"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1F696DE">
      <w:start w:val="1"/>
      <w:numFmt w:val="bullet"/>
      <w:lvlText w:val=""/>
      <w:lvlJc w:val="left"/>
      <w:pPr>
        <w:ind w:left="720" w:hanging="360"/>
      </w:pPr>
      <w:rPr>
        <w:rFonts w:ascii="Symbol" w:hAnsi="Symbol" w:hint="default"/>
      </w:rPr>
    </w:lvl>
    <w:lvl w:ilvl="1" w:tplc="3A588AE2" w:tentative="1">
      <w:start w:val="1"/>
      <w:numFmt w:val="bullet"/>
      <w:lvlText w:val="o"/>
      <w:lvlJc w:val="left"/>
      <w:pPr>
        <w:ind w:left="1440" w:hanging="360"/>
      </w:pPr>
      <w:rPr>
        <w:rFonts w:ascii="Courier New" w:hAnsi="Courier New" w:cs="Courier New" w:hint="default"/>
      </w:rPr>
    </w:lvl>
    <w:lvl w:ilvl="2" w:tplc="98382F5C" w:tentative="1">
      <w:start w:val="1"/>
      <w:numFmt w:val="bullet"/>
      <w:lvlText w:val=""/>
      <w:lvlJc w:val="left"/>
      <w:pPr>
        <w:ind w:left="2160" w:hanging="360"/>
      </w:pPr>
      <w:rPr>
        <w:rFonts w:ascii="Wingdings" w:hAnsi="Wingdings" w:hint="default"/>
      </w:rPr>
    </w:lvl>
    <w:lvl w:ilvl="3" w:tplc="50B2289E" w:tentative="1">
      <w:start w:val="1"/>
      <w:numFmt w:val="bullet"/>
      <w:lvlText w:val=""/>
      <w:lvlJc w:val="left"/>
      <w:pPr>
        <w:ind w:left="2880" w:hanging="360"/>
      </w:pPr>
      <w:rPr>
        <w:rFonts w:ascii="Symbol" w:hAnsi="Symbol" w:hint="default"/>
      </w:rPr>
    </w:lvl>
    <w:lvl w:ilvl="4" w:tplc="82F217B8" w:tentative="1">
      <w:start w:val="1"/>
      <w:numFmt w:val="bullet"/>
      <w:lvlText w:val="o"/>
      <w:lvlJc w:val="left"/>
      <w:pPr>
        <w:ind w:left="3600" w:hanging="360"/>
      </w:pPr>
      <w:rPr>
        <w:rFonts w:ascii="Courier New" w:hAnsi="Courier New" w:cs="Courier New" w:hint="default"/>
      </w:rPr>
    </w:lvl>
    <w:lvl w:ilvl="5" w:tplc="6002CB1C" w:tentative="1">
      <w:start w:val="1"/>
      <w:numFmt w:val="bullet"/>
      <w:lvlText w:val=""/>
      <w:lvlJc w:val="left"/>
      <w:pPr>
        <w:ind w:left="4320" w:hanging="360"/>
      </w:pPr>
      <w:rPr>
        <w:rFonts w:ascii="Wingdings" w:hAnsi="Wingdings" w:hint="default"/>
      </w:rPr>
    </w:lvl>
    <w:lvl w:ilvl="6" w:tplc="A8EAA456" w:tentative="1">
      <w:start w:val="1"/>
      <w:numFmt w:val="bullet"/>
      <w:lvlText w:val=""/>
      <w:lvlJc w:val="left"/>
      <w:pPr>
        <w:ind w:left="5040" w:hanging="360"/>
      </w:pPr>
      <w:rPr>
        <w:rFonts w:ascii="Symbol" w:hAnsi="Symbol" w:hint="default"/>
      </w:rPr>
    </w:lvl>
    <w:lvl w:ilvl="7" w:tplc="05E6A414" w:tentative="1">
      <w:start w:val="1"/>
      <w:numFmt w:val="bullet"/>
      <w:lvlText w:val="o"/>
      <w:lvlJc w:val="left"/>
      <w:pPr>
        <w:ind w:left="5760" w:hanging="360"/>
      </w:pPr>
      <w:rPr>
        <w:rFonts w:ascii="Courier New" w:hAnsi="Courier New" w:cs="Courier New" w:hint="default"/>
      </w:rPr>
    </w:lvl>
    <w:lvl w:ilvl="8" w:tplc="153E65C8"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3B721630">
      <w:start w:val="1"/>
      <w:numFmt w:val="bullet"/>
      <w:lvlText w:val=""/>
      <w:lvlJc w:val="left"/>
      <w:pPr>
        <w:ind w:left="720" w:hanging="360"/>
      </w:pPr>
      <w:rPr>
        <w:rFonts w:ascii="Wingdings" w:hAnsi="Wingdings" w:hint="default"/>
        <w:sz w:val="22"/>
        <w:szCs w:val="22"/>
      </w:rPr>
    </w:lvl>
    <w:lvl w:ilvl="1" w:tplc="A0B4B25A">
      <w:start w:val="1"/>
      <w:numFmt w:val="bullet"/>
      <w:lvlText w:val="o"/>
      <w:lvlJc w:val="left"/>
      <w:pPr>
        <w:ind w:left="1440" w:hanging="360"/>
      </w:pPr>
      <w:rPr>
        <w:rFonts w:ascii="Courier New" w:hAnsi="Courier New" w:cs="Courier New" w:hint="default"/>
      </w:rPr>
    </w:lvl>
    <w:lvl w:ilvl="2" w:tplc="D89A19F0">
      <w:start w:val="1"/>
      <w:numFmt w:val="bullet"/>
      <w:lvlText w:val=""/>
      <w:lvlJc w:val="left"/>
      <w:pPr>
        <w:ind w:left="2160" w:hanging="360"/>
      </w:pPr>
      <w:rPr>
        <w:rFonts w:ascii="Wingdings" w:hAnsi="Wingdings" w:hint="default"/>
      </w:rPr>
    </w:lvl>
    <w:lvl w:ilvl="3" w:tplc="75246A92">
      <w:start w:val="1"/>
      <w:numFmt w:val="bullet"/>
      <w:lvlText w:val=""/>
      <w:lvlJc w:val="left"/>
      <w:pPr>
        <w:ind w:left="2880" w:hanging="360"/>
      </w:pPr>
      <w:rPr>
        <w:rFonts w:ascii="Symbol" w:hAnsi="Symbol" w:hint="default"/>
      </w:rPr>
    </w:lvl>
    <w:lvl w:ilvl="4" w:tplc="DA06CC2E">
      <w:start w:val="1"/>
      <w:numFmt w:val="bullet"/>
      <w:lvlText w:val="o"/>
      <w:lvlJc w:val="left"/>
      <w:pPr>
        <w:ind w:left="3600" w:hanging="360"/>
      </w:pPr>
      <w:rPr>
        <w:rFonts w:ascii="Courier New" w:hAnsi="Courier New" w:cs="Courier New" w:hint="default"/>
      </w:rPr>
    </w:lvl>
    <w:lvl w:ilvl="5" w:tplc="B4967406">
      <w:start w:val="1"/>
      <w:numFmt w:val="bullet"/>
      <w:lvlText w:val=""/>
      <w:lvlJc w:val="left"/>
      <w:pPr>
        <w:ind w:left="4320" w:hanging="360"/>
      </w:pPr>
      <w:rPr>
        <w:rFonts w:ascii="Wingdings" w:hAnsi="Wingdings" w:hint="default"/>
      </w:rPr>
    </w:lvl>
    <w:lvl w:ilvl="6" w:tplc="737CE2F0">
      <w:start w:val="1"/>
      <w:numFmt w:val="bullet"/>
      <w:lvlText w:val=""/>
      <w:lvlJc w:val="left"/>
      <w:pPr>
        <w:ind w:left="5040" w:hanging="360"/>
      </w:pPr>
      <w:rPr>
        <w:rFonts w:ascii="Symbol" w:hAnsi="Symbol" w:hint="default"/>
      </w:rPr>
    </w:lvl>
    <w:lvl w:ilvl="7" w:tplc="B08C7588">
      <w:start w:val="1"/>
      <w:numFmt w:val="bullet"/>
      <w:lvlText w:val="o"/>
      <w:lvlJc w:val="left"/>
      <w:pPr>
        <w:ind w:left="5760" w:hanging="360"/>
      </w:pPr>
      <w:rPr>
        <w:rFonts w:ascii="Courier New" w:hAnsi="Courier New" w:cs="Courier New" w:hint="default"/>
      </w:rPr>
    </w:lvl>
    <w:lvl w:ilvl="8" w:tplc="5BB00146">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1B9EBACE">
      <w:start w:val="1"/>
      <w:numFmt w:val="bullet"/>
      <w:lvlText w:val=""/>
      <w:lvlJc w:val="left"/>
      <w:pPr>
        <w:ind w:left="720" w:hanging="360"/>
      </w:pPr>
      <w:rPr>
        <w:rFonts w:ascii="Symbol" w:hAnsi="Symbol" w:hint="default"/>
      </w:rPr>
    </w:lvl>
    <w:lvl w:ilvl="1" w:tplc="F282EC3E" w:tentative="1">
      <w:start w:val="1"/>
      <w:numFmt w:val="bullet"/>
      <w:lvlText w:val="o"/>
      <w:lvlJc w:val="left"/>
      <w:pPr>
        <w:ind w:left="1440" w:hanging="360"/>
      </w:pPr>
      <w:rPr>
        <w:rFonts w:ascii="Courier New" w:hAnsi="Courier New" w:cs="Courier New" w:hint="default"/>
      </w:rPr>
    </w:lvl>
    <w:lvl w:ilvl="2" w:tplc="9BBE482C" w:tentative="1">
      <w:start w:val="1"/>
      <w:numFmt w:val="bullet"/>
      <w:lvlText w:val=""/>
      <w:lvlJc w:val="left"/>
      <w:pPr>
        <w:ind w:left="2160" w:hanging="360"/>
      </w:pPr>
      <w:rPr>
        <w:rFonts w:ascii="Wingdings" w:hAnsi="Wingdings" w:hint="default"/>
      </w:rPr>
    </w:lvl>
    <w:lvl w:ilvl="3" w:tplc="18F272D6" w:tentative="1">
      <w:start w:val="1"/>
      <w:numFmt w:val="bullet"/>
      <w:lvlText w:val=""/>
      <w:lvlJc w:val="left"/>
      <w:pPr>
        <w:ind w:left="2880" w:hanging="360"/>
      </w:pPr>
      <w:rPr>
        <w:rFonts w:ascii="Symbol" w:hAnsi="Symbol" w:hint="default"/>
      </w:rPr>
    </w:lvl>
    <w:lvl w:ilvl="4" w:tplc="1C5E95A8" w:tentative="1">
      <w:start w:val="1"/>
      <w:numFmt w:val="bullet"/>
      <w:lvlText w:val="o"/>
      <w:lvlJc w:val="left"/>
      <w:pPr>
        <w:ind w:left="3600" w:hanging="360"/>
      </w:pPr>
      <w:rPr>
        <w:rFonts w:ascii="Courier New" w:hAnsi="Courier New" w:cs="Courier New" w:hint="default"/>
      </w:rPr>
    </w:lvl>
    <w:lvl w:ilvl="5" w:tplc="EE024C0A" w:tentative="1">
      <w:start w:val="1"/>
      <w:numFmt w:val="bullet"/>
      <w:lvlText w:val=""/>
      <w:lvlJc w:val="left"/>
      <w:pPr>
        <w:ind w:left="4320" w:hanging="360"/>
      </w:pPr>
      <w:rPr>
        <w:rFonts w:ascii="Wingdings" w:hAnsi="Wingdings" w:hint="default"/>
      </w:rPr>
    </w:lvl>
    <w:lvl w:ilvl="6" w:tplc="AC0E2B7A" w:tentative="1">
      <w:start w:val="1"/>
      <w:numFmt w:val="bullet"/>
      <w:lvlText w:val=""/>
      <w:lvlJc w:val="left"/>
      <w:pPr>
        <w:ind w:left="5040" w:hanging="360"/>
      </w:pPr>
      <w:rPr>
        <w:rFonts w:ascii="Symbol" w:hAnsi="Symbol" w:hint="default"/>
      </w:rPr>
    </w:lvl>
    <w:lvl w:ilvl="7" w:tplc="6772D786" w:tentative="1">
      <w:start w:val="1"/>
      <w:numFmt w:val="bullet"/>
      <w:lvlText w:val="o"/>
      <w:lvlJc w:val="left"/>
      <w:pPr>
        <w:ind w:left="5760" w:hanging="360"/>
      </w:pPr>
      <w:rPr>
        <w:rFonts w:ascii="Courier New" w:hAnsi="Courier New" w:cs="Courier New" w:hint="default"/>
      </w:rPr>
    </w:lvl>
    <w:lvl w:ilvl="8" w:tplc="DDCEE0EE"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0AACC862">
      <w:start w:val="1"/>
      <w:numFmt w:val="bullet"/>
      <w:lvlText w:val=""/>
      <w:lvlJc w:val="left"/>
      <w:pPr>
        <w:ind w:left="720" w:hanging="360"/>
      </w:pPr>
      <w:rPr>
        <w:rFonts w:ascii="Symbol" w:hAnsi="Symbol" w:hint="default"/>
      </w:rPr>
    </w:lvl>
    <w:lvl w:ilvl="1" w:tplc="14521158">
      <w:start w:val="1"/>
      <w:numFmt w:val="bullet"/>
      <w:lvlText w:val="o"/>
      <w:lvlJc w:val="left"/>
      <w:pPr>
        <w:ind w:left="1440" w:hanging="360"/>
      </w:pPr>
      <w:rPr>
        <w:rFonts w:ascii="Courier New" w:hAnsi="Courier New" w:cs="Courier New" w:hint="default"/>
      </w:rPr>
    </w:lvl>
    <w:lvl w:ilvl="2" w:tplc="AF78FAE2">
      <w:start w:val="1"/>
      <w:numFmt w:val="bullet"/>
      <w:lvlText w:val=""/>
      <w:lvlJc w:val="left"/>
      <w:pPr>
        <w:ind w:left="2160" w:hanging="360"/>
      </w:pPr>
      <w:rPr>
        <w:rFonts w:ascii="Wingdings" w:hAnsi="Wingdings" w:hint="default"/>
      </w:rPr>
    </w:lvl>
    <w:lvl w:ilvl="3" w:tplc="4814A2FC">
      <w:start w:val="1"/>
      <w:numFmt w:val="bullet"/>
      <w:lvlText w:val=""/>
      <w:lvlJc w:val="left"/>
      <w:pPr>
        <w:ind w:left="2880" w:hanging="360"/>
      </w:pPr>
      <w:rPr>
        <w:rFonts w:ascii="Symbol" w:hAnsi="Symbol" w:hint="default"/>
      </w:rPr>
    </w:lvl>
    <w:lvl w:ilvl="4" w:tplc="3F48FDE6">
      <w:start w:val="1"/>
      <w:numFmt w:val="bullet"/>
      <w:lvlText w:val="o"/>
      <w:lvlJc w:val="left"/>
      <w:pPr>
        <w:ind w:left="3600" w:hanging="360"/>
      </w:pPr>
      <w:rPr>
        <w:rFonts w:ascii="Courier New" w:hAnsi="Courier New" w:cs="Courier New" w:hint="default"/>
      </w:rPr>
    </w:lvl>
    <w:lvl w:ilvl="5" w:tplc="EB1E792C">
      <w:start w:val="1"/>
      <w:numFmt w:val="bullet"/>
      <w:lvlText w:val=""/>
      <w:lvlJc w:val="left"/>
      <w:pPr>
        <w:ind w:left="4320" w:hanging="360"/>
      </w:pPr>
      <w:rPr>
        <w:rFonts w:ascii="Wingdings" w:hAnsi="Wingdings" w:hint="default"/>
      </w:rPr>
    </w:lvl>
    <w:lvl w:ilvl="6" w:tplc="E7A40D04">
      <w:start w:val="1"/>
      <w:numFmt w:val="bullet"/>
      <w:lvlText w:val=""/>
      <w:lvlJc w:val="left"/>
      <w:pPr>
        <w:ind w:left="5040" w:hanging="360"/>
      </w:pPr>
      <w:rPr>
        <w:rFonts w:ascii="Symbol" w:hAnsi="Symbol" w:hint="default"/>
      </w:rPr>
    </w:lvl>
    <w:lvl w:ilvl="7" w:tplc="9766D302">
      <w:start w:val="1"/>
      <w:numFmt w:val="bullet"/>
      <w:lvlText w:val="o"/>
      <w:lvlJc w:val="left"/>
      <w:pPr>
        <w:ind w:left="5760" w:hanging="360"/>
      </w:pPr>
      <w:rPr>
        <w:rFonts w:ascii="Courier New" w:hAnsi="Courier New" w:cs="Courier New" w:hint="default"/>
      </w:rPr>
    </w:lvl>
    <w:lvl w:ilvl="8" w:tplc="9D22B53A">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6E22A0F6">
      <w:start w:val="1"/>
      <w:numFmt w:val="bullet"/>
      <w:lvlText w:val=""/>
      <w:lvlJc w:val="left"/>
      <w:pPr>
        <w:ind w:left="720" w:hanging="360"/>
      </w:pPr>
      <w:rPr>
        <w:rFonts w:ascii="Wingdings" w:hAnsi="Wingdings" w:hint="default"/>
        <w:sz w:val="22"/>
        <w:szCs w:val="22"/>
      </w:rPr>
    </w:lvl>
    <w:lvl w:ilvl="1" w:tplc="A13ACE48">
      <w:start w:val="1"/>
      <w:numFmt w:val="bullet"/>
      <w:lvlText w:val="o"/>
      <w:lvlJc w:val="left"/>
      <w:pPr>
        <w:ind w:left="1440" w:hanging="360"/>
      </w:pPr>
      <w:rPr>
        <w:rFonts w:ascii="Courier New" w:hAnsi="Courier New" w:cs="Courier New" w:hint="default"/>
      </w:rPr>
    </w:lvl>
    <w:lvl w:ilvl="2" w:tplc="2A14B194">
      <w:start w:val="1"/>
      <w:numFmt w:val="bullet"/>
      <w:lvlText w:val=""/>
      <w:lvlJc w:val="left"/>
      <w:pPr>
        <w:ind w:left="2160" w:hanging="360"/>
      </w:pPr>
      <w:rPr>
        <w:rFonts w:ascii="Wingdings" w:hAnsi="Wingdings" w:hint="default"/>
      </w:rPr>
    </w:lvl>
    <w:lvl w:ilvl="3" w:tplc="0ED09328">
      <w:start w:val="1"/>
      <w:numFmt w:val="bullet"/>
      <w:lvlText w:val=""/>
      <w:lvlJc w:val="left"/>
      <w:pPr>
        <w:ind w:left="2880" w:hanging="360"/>
      </w:pPr>
      <w:rPr>
        <w:rFonts w:ascii="Symbol" w:hAnsi="Symbol" w:hint="default"/>
      </w:rPr>
    </w:lvl>
    <w:lvl w:ilvl="4" w:tplc="D722DC46">
      <w:start w:val="1"/>
      <w:numFmt w:val="bullet"/>
      <w:lvlText w:val="o"/>
      <w:lvlJc w:val="left"/>
      <w:pPr>
        <w:ind w:left="3600" w:hanging="360"/>
      </w:pPr>
      <w:rPr>
        <w:rFonts w:ascii="Courier New" w:hAnsi="Courier New" w:cs="Courier New" w:hint="default"/>
      </w:rPr>
    </w:lvl>
    <w:lvl w:ilvl="5" w:tplc="10A628CA">
      <w:start w:val="1"/>
      <w:numFmt w:val="bullet"/>
      <w:lvlText w:val=""/>
      <w:lvlJc w:val="left"/>
      <w:pPr>
        <w:ind w:left="4320" w:hanging="360"/>
      </w:pPr>
      <w:rPr>
        <w:rFonts w:ascii="Wingdings" w:hAnsi="Wingdings" w:hint="default"/>
      </w:rPr>
    </w:lvl>
    <w:lvl w:ilvl="6" w:tplc="37EEFA4E">
      <w:start w:val="1"/>
      <w:numFmt w:val="bullet"/>
      <w:lvlText w:val=""/>
      <w:lvlJc w:val="left"/>
      <w:pPr>
        <w:ind w:left="5040" w:hanging="360"/>
      </w:pPr>
      <w:rPr>
        <w:rFonts w:ascii="Symbol" w:hAnsi="Symbol" w:hint="default"/>
      </w:rPr>
    </w:lvl>
    <w:lvl w:ilvl="7" w:tplc="3A10CD00">
      <w:start w:val="1"/>
      <w:numFmt w:val="bullet"/>
      <w:lvlText w:val="o"/>
      <w:lvlJc w:val="left"/>
      <w:pPr>
        <w:ind w:left="5760" w:hanging="360"/>
      </w:pPr>
      <w:rPr>
        <w:rFonts w:ascii="Courier New" w:hAnsi="Courier New" w:cs="Courier New" w:hint="default"/>
      </w:rPr>
    </w:lvl>
    <w:lvl w:ilvl="8" w:tplc="14BCD3BE">
      <w:start w:val="1"/>
      <w:numFmt w:val="bullet"/>
      <w:lvlText w:val=""/>
      <w:lvlJc w:val="left"/>
      <w:pPr>
        <w:ind w:left="6480" w:hanging="360"/>
      </w:pPr>
      <w:rPr>
        <w:rFonts w:ascii="Wingdings" w:hAnsi="Wingdings" w:hint="default"/>
      </w:rPr>
    </w:lvl>
  </w:abstractNum>
  <w:abstractNum w:abstractNumId="10" w15:restartNumberingAfterBreak="0">
    <w:nsid w:val="23B57D84"/>
    <w:multiLevelType w:val="hybridMultilevel"/>
    <w:tmpl w:val="1B9C7DBA"/>
    <w:lvl w:ilvl="0" w:tplc="A5CE83E6">
      <w:start w:val="1"/>
      <w:numFmt w:val="bullet"/>
      <w:lvlText w:val=""/>
      <w:lvlJc w:val="left"/>
      <w:pPr>
        <w:ind w:left="720" w:hanging="360"/>
      </w:pPr>
      <w:rPr>
        <w:rFonts w:ascii="Symbol" w:hAnsi="Symbol" w:hint="default"/>
      </w:rPr>
    </w:lvl>
    <w:lvl w:ilvl="1" w:tplc="A1ACC062" w:tentative="1">
      <w:start w:val="1"/>
      <w:numFmt w:val="bullet"/>
      <w:lvlText w:val="o"/>
      <w:lvlJc w:val="left"/>
      <w:pPr>
        <w:ind w:left="1440" w:hanging="360"/>
      </w:pPr>
      <w:rPr>
        <w:rFonts w:ascii="Courier New" w:hAnsi="Courier New" w:cs="Courier New" w:hint="default"/>
      </w:rPr>
    </w:lvl>
    <w:lvl w:ilvl="2" w:tplc="F7C843A8" w:tentative="1">
      <w:start w:val="1"/>
      <w:numFmt w:val="bullet"/>
      <w:lvlText w:val=""/>
      <w:lvlJc w:val="left"/>
      <w:pPr>
        <w:ind w:left="2160" w:hanging="360"/>
      </w:pPr>
      <w:rPr>
        <w:rFonts w:ascii="Wingdings" w:hAnsi="Wingdings" w:hint="default"/>
      </w:rPr>
    </w:lvl>
    <w:lvl w:ilvl="3" w:tplc="F6409386" w:tentative="1">
      <w:start w:val="1"/>
      <w:numFmt w:val="bullet"/>
      <w:lvlText w:val=""/>
      <w:lvlJc w:val="left"/>
      <w:pPr>
        <w:ind w:left="2880" w:hanging="360"/>
      </w:pPr>
      <w:rPr>
        <w:rFonts w:ascii="Symbol" w:hAnsi="Symbol" w:hint="default"/>
      </w:rPr>
    </w:lvl>
    <w:lvl w:ilvl="4" w:tplc="EA322D00" w:tentative="1">
      <w:start w:val="1"/>
      <w:numFmt w:val="bullet"/>
      <w:lvlText w:val="o"/>
      <w:lvlJc w:val="left"/>
      <w:pPr>
        <w:ind w:left="3600" w:hanging="360"/>
      </w:pPr>
      <w:rPr>
        <w:rFonts w:ascii="Courier New" w:hAnsi="Courier New" w:cs="Courier New" w:hint="default"/>
      </w:rPr>
    </w:lvl>
    <w:lvl w:ilvl="5" w:tplc="DE168AA8" w:tentative="1">
      <w:start w:val="1"/>
      <w:numFmt w:val="bullet"/>
      <w:lvlText w:val=""/>
      <w:lvlJc w:val="left"/>
      <w:pPr>
        <w:ind w:left="4320" w:hanging="360"/>
      </w:pPr>
      <w:rPr>
        <w:rFonts w:ascii="Wingdings" w:hAnsi="Wingdings" w:hint="default"/>
      </w:rPr>
    </w:lvl>
    <w:lvl w:ilvl="6" w:tplc="B1DA80CE" w:tentative="1">
      <w:start w:val="1"/>
      <w:numFmt w:val="bullet"/>
      <w:lvlText w:val=""/>
      <w:lvlJc w:val="left"/>
      <w:pPr>
        <w:ind w:left="5040" w:hanging="360"/>
      </w:pPr>
      <w:rPr>
        <w:rFonts w:ascii="Symbol" w:hAnsi="Symbol" w:hint="default"/>
      </w:rPr>
    </w:lvl>
    <w:lvl w:ilvl="7" w:tplc="C7884B14" w:tentative="1">
      <w:start w:val="1"/>
      <w:numFmt w:val="bullet"/>
      <w:lvlText w:val="o"/>
      <w:lvlJc w:val="left"/>
      <w:pPr>
        <w:ind w:left="5760" w:hanging="360"/>
      </w:pPr>
      <w:rPr>
        <w:rFonts w:ascii="Courier New" w:hAnsi="Courier New" w:cs="Courier New" w:hint="default"/>
      </w:rPr>
    </w:lvl>
    <w:lvl w:ilvl="8" w:tplc="BE600882" w:tentative="1">
      <w:start w:val="1"/>
      <w:numFmt w:val="bullet"/>
      <w:lvlText w:val=""/>
      <w:lvlJc w:val="left"/>
      <w:pPr>
        <w:ind w:left="6480" w:hanging="360"/>
      </w:pPr>
      <w:rPr>
        <w:rFonts w:ascii="Wingdings" w:hAnsi="Wingdings" w:hint="default"/>
      </w:rPr>
    </w:lvl>
  </w:abstractNum>
  <w:abstractNum w:abstractNumId="11" w15:restartNumberingAfterBreak="0">
    <w:nsid w:val="28690CAB"/>
    <w:multiLevelType w:val="hybridMultilevel"/>
    <w:tmpl w:val="3724D7A6"/>
    <w:lvl w:ilvl="0" w:tplc="68AE6FB4">
      <w:start w:val="1"/>
      <w:numFmt w:val="bullet"/>
      <w:lvlText w:val=""/>
      <w:lvlJc w:val="left"/>
      <w:pPr>
        <w:ind w:left="720" w:hanging="360"/>
      </w:pPr>
      <w:rPr>
        <w:rFonts w:ascii="Symbol" w:hAnsi="Symbol" w:hint="default"/>
      </w:rPr>
    </w:lvl>
    <w:lvl w:ilvl="1" w:tplc="C4DE367A" w:tentative="1">
      <w:start w:val="1"/>
      <w:numFmt w:val="bullet"/>
      <w:lvlText w:val="o"/>
      <w:lvlJc w:val="left"/>
      <w:pPr>
        <w:ind w:left="1440" w:hanging="360"/>
      </w:pPr>
      <w:rPr>
        <w:rFonts w:ascii="Courier New" w:hAnsi="Courier New" w:cs="Courier New" w:hint="default"/>
      </w:rPr>
    </w:lvl>
    <w:lvl w:ilvl="2" w:tplc="5638FC92" w:tentative="1">
      <w:start w:val="1"/>
      <w:numFmt w:val="bullet"/>
      <w:lvlText w:val=""/>
      <w:lvlJc w:val="left"/>
      <w:pPr>
        <w:ind w:left="2160" w:hanging="360"/>
      </w:pPr>
      <w:rPr>
        <w:rFonts w:ascii="Wingdings" w:hAnsi="Wingdings" w:hint="default"/>
      </w:rPr>
    </w:lvl>
    <w:lvl w:ilvl="3" w:tplc="33E2E656" w:tentative="1">
      <w:start w:val="1"/>
      <w:numFmt w:val="bullet"/>
      <w:lvlText w:val=""/>
      <w:lvlJc w:val="left"/>
      <w:pPr>
        <w:ind w:left="2880" w:hanging="360"/>
      </w:pPr>
      <w:rPr>
        <w:rFonts w:ascii="Symbol" w:hAnsi="Symbol" w:hint="default"/>
      </w:rPr>
    </w:lvl>
    <w:lvl w:ilvl="4" w:tplc="00287EE4" w:tentative="1">
      <w:start w:val="1"/>
      <w:numFmt w:val="bullet"/>
      <w:lvlText w:val="o"/>
      <w:lvlJc w:val="left"/>
      <w:pPr>
        <w:ind w:left="3600" w:hanging="360"/>
      </w:pPr>
      <w:rPr>
        <w:rFonts w:ascii="Courier New" w:hAnsi="Courier New" w:cs="Courier New" w:hint="default"/>
      </w:rPr>
    </w:lvl>
    <w:lvl w:ilvl="5" w:tplc="5CD4A5A0" w:tentative="1">
      <w:start w:val="1"/>
      <w:numFmt w:val="bullet"/>
      <w:lvlText w:val=""/>
      <w:lvlJc w:val="left"/>
      <w:pPr>
        <w:ind w:left="4320" w:hanging="360"/>
      </w:pPr>
      <w:rPr>
        <w:rFonts w:ascii="Wingdings" w:hAnsi="Wingdings" w:hint="default"/>
      </w:rPr>
    </w:lvl>
    <w:lvl w:ilvl="6" w:tplc="809A05CA" w:tentative="1">
      <w:start w:val="1"/>
      <w:numFmt w:val="bullet"/>
      <w:lvlText w:val=""/>
      <w:lvlJc w:val="left"/>
      <w:pPr>
        <w:ind w:left="5040" w:hanging="360"/>
      </w:pPr>
      <w:rPr>
        <w:rFonts w:ascii="Symbol" w:hAnsi="Symbol" w:hint="default"/>
      </w:rPr>
    </w:lvl>
    <w:lvl w:ilvl="7" w:tplc="94D40F9C" w:tentative="1">
      <w:start w:val="1"/>
      <w:numFmt w:val="bullet"/>
      <w:lvlText w:val="o"/>
      <w:lvlJc w:val="left"/>
      <w:pPr>
        <w:ind w:left="5760" w:hanging="360"/>
      </w:pPr>
      <w:rPr>
        <w:rFonts w:ascii="Courier New" w:hAnsi="Courier New" w:cs="Courier New" w:hint="default"/>
      </w:rPr>
    </w:lvl>
    <w:lvl w:ilvl="8" w:tplc="2D1A993A" w:tentative="1">
      <w:start w:val="1"/>
      <w:numFmt w:val="bullet"/>
      <w:lvlText w:val=""/>
      <w:lvlJc w:val="left"/>
      <w:pPr>
        <w:ind w:left="6480" w:hanging="360"/>
      </w:pPr>
      <w:rPr>
        <w:rFonts w:ascii="Wingdings" w:hAnsi="Wingdings" w:hint="default"/>
      </w:rPr>
    </w:lvl>
  </w:abstractNum>
  <w:abstractNum w:abstractNumId="12" w15:restartNumberingAfterBreak="0">
    <w:nsid w:val="2DBC546A"/>
    <w:multiLevelType w:val="hybridMultilevel"/>
    <w:tmpl w:val="3FE0C3C0"/>
    <w:lvl w:ilvl="0" w:tplc="568E0BBC">
      <w:start w:val="1"/>
      <w:numFmt w:val="bullet"/>
      <w:lvlText w:val=""/>
      <w:lvlJc w:val="left"/>
      <w:pPr>
        <w:ind w:left="720" w:hanging="360"/>
      </w:pPr>
      <w:rPr>
        <w:rFonts w:ascii="Symbol" w:hAnsi="Symbol" w:hint="default"/>
      </w:rPr>
    </w:lvl>
    <w:lvl w:ilvl="1" w:tplc="A0F44768">
      <w:start w:val="1"/>
      <w:numFmt w:val="bullet"/>
      <w:lvlText w:val="o"/>
      <w:lvlJc w:val="left"/>
      <w:pPr>
        <w:ind w:left="1440" w:hanging="360"/>
      </w:pPr>
      <w:rPr>
        <w:rFonts w:ascii="Courier New" w:hAnsi="Courier New" w:cs="Courier New" w:hint="default"/>
      </w:rPr>
    </w:lvl>
    <w:lvl w:ilvl="2" w:tplc="F432B062">
      <w:start w:val="1"/>
      <w:numFmt w:val="bullet"/>
      <w:lvlText w:val=""/>
      <w:lvlJc w:val="left"/>
      <w:pPr>
        <w:ind w:left="2160" w:hanging="360"/>
      </w:pPr>
      <w:rPr>
        <w:rFonts w:ascii="Wingdings" w:hAnsi="Wingdings" w:hint="default"/>
      </w:rPr>
    </w:lvl>
    <w:lvl w:ilvl="3" w:tplc="1656536E">
      <w:start w:val="1"/>
      <w:numFmt w:val="bullet"/>
      <w:lvlText w:val=""/>
      <w:lvlJc w:val="left"/>
      <w:pPr>
        <w:ind w:left="2880" w:hanging="360"/>
      </w:pPr>
      <w:rPr>
        <w:rFonts w:ascii="Symbol" w:hAnsi="Symbol" w:hint="default"/>
      </w:rPr>
    </w:lvl>
    <w:lvl w:ilvl="4" w:tplc="2D988C80">
      <w:start w:val="1"/>
      <w:numFmt w:val="bullet"/>
      <w:lvlText w:val="o"/>
      <w:lvlJc w:val="left"/>
      <w:pPr>
        <w:ind w:left="3600" w:hanging="360"/>
      </w:pPr>
      <w:rPr>
        <w:rFonts w:ascii="Courier New" w:hAnsi="Courier New" w:cs="Courier New" w:hint="default"/>
      </w:rPr>
    </w:lvl>
    <w:lvl w:ilvl="5" w:tplc="83B4FC40">
      <w:start w:val="1"/>
      <w:numFmt w:val="bullet"/>
      <w:lvlText w:val=""/>
      <w:lvlJc w:val="left"/>
      <w:pPr>
        <w:ind w:left="4320" w:hanging="360"/>
      </w:pPr>
      <w:rPr>
        <w:rFonts w:ascii="Wingdings" w:hAnsi="Wingdings" w:hint="default"/>
      </w:rPr>
    </w:lvl>
    <w:lvl w:ilvl="6" w:tplc="BF5CA536">
      <w:start w:val="1"/>
      <w:numFmt w:val="bullet"/>
      <w:lvlText w:val=""/>
      <w:lvlJc w:val="left"/>
      <w:pPr>
        <w:ind w:left="5040" w:hanging="360"/>
      </w:pPr>
      <w:rPr>
        <w:rFonts w:ascii="Symbol" w:hAnsi="Symbol" w:hint="default"/>
      </w:rPr>
    </w:lvl>
    <w:lvl w:ilvl="7" w:tplc="8EA869CA">
      <w:start w:val="1"/>
      <w:numFmt w:val="bullet"/>
      <w:lvlText w:val="o"/>
      <w:lvlJc w:val="left"/>
      <w:pPr>
        <w:ind w:left="5760" w:hanging="360"/>
      </w:pPr>
      <w:rPr>
        <w:rFonts w:ascii="Courier New" w:hAnsi="Courier New" w:cs="Courier New" w:hint="default"/>
      </w:rPr>
    </w:lvl>
    <w:lvl w:ilvl="8" w:tplc="F286A150">
      <w:start w:val="1"/>
      <w:numFmt w:val="bullet"/>
      <w:lvlText w:val=""/>
      <w:lvlJc w:val="left"/>
      <w:pPr>
        <w:ind w:left="6480" w:hanging="360"/>
      </w:pPr>
      <w:rPr>
        <w:rFonts w:ascii="Wingdings" w:hAnsi="Wingdings" w:hint="default"/>
      </w:rPr>
    </w:lvl>
  </w:abstractNum>
  <w:abstractNum w:abstractNumId="13" w15:restartNumberingAfterBreak="0">
    <w:nsid w:val="2E954745"/>
    <w:multiLevelType w:val="hybridMultilevel"/>
    <w:tmpl w:val="E8FEED20"/>
    <w:lvl w:ilvl="0" w:tplc="9FDC28BA">
      <w:start w:val="1"/>
      <w:numFmt w:val="bullet"/>
      <w:lvlText w:val=""/>
      <w:lvlJc w:val="left"/>
      <w:pPr>
        <w:ind w:left="720" w:hanging="360"/>
      </w:pPr>
      <w:rPr>
        <w:rFonts w:ascii="Symbol" w:hAnsi="Symbol" w:hint="default"/>
      </w:rPr>
    </w:lvl>
    <w:lvl w:ilvl="1" w:tplc="AC720F28" w:tentative="1">
      <w:start w:val="1"/>
      <w:numFmt w:val="bullet"/>
      <w:lvlText w:val="o"/>
      <w:lvlJc w:val="left"/>
      <w:pPr>
        <w:ind w:left="1440" w:hanging="360"/>
      </w:pPr>
      <w:rPr>
        <w:rFonts w:ascii="Courier New" w:hAnsi="Courier New" w:cs="Courier New" w:hint="default"/>
      </w:rPr>
    </w:lvl>
    <w:lvl w:ilvl="2" w:tplc="E2A0C978" w:tentative="1">
      <w:start w:val="1"/>
      <w:numFmt w:val="bullet"/>
      <w:lvlText w:val=""/>
      <w:lvlJc w:val="left"/>
      <w:pPr>
        <w:ind w:left="2160" w:hanging="360"/>
      </w:pPr>
      <w:rPr>
        <w:rFonts w:ascii="Wingdings" w:hAnsi="Wingdings" w:hint="default"/>
      </w:rPr>
    </w:lvl>
    <w:lvl w:ilvl="3" w:tplc="8DC07784" w:tentative="1">
      <w:start w:val="1"/>
      <w:numFmt w:val="bullet"/>
      <w:lvlText w:val=""/>
      <w:lvlJc w:val="left"/>
      <w:pPr>
        <w:ind w:left="2880" w:hanging="360"/>
      </w:pPr>
      <w:rPr>
        <w:rFonts w:ascii="Symbol" w:hAnsi="Symbol" w:hint="default"/>
      </w:rPr>
    </w:lvl>
    <w:lvl w:ilvl="4" w:tplc="A06A84EA" w:tentative="1">
      <w:start w:val="1"/>
      <w:numFmt w:val="bullet"/>
      <w:lvlText w:val="o"/>
      <w:lvlJc w:val="left"/>
      <w:pPr>
        <w:ind w:left="3600" w:hanging="360"/>
      </w:pPr>
      <w:rPr>
        <w:rFonts w:ascii="Courier New" w:hAnsi="Courier New" w:cs="Courier New" w:hint="default"/>
      </w:rPr>
    </w:lvl>
    <w:lvl w:ilvl="5" w:tplc="72FA5EA2" w:tentative="1">
      <w:start w:val="1"/>
      <w:numFmt w:val="bullet"/>
      <w:lvlText w:val=""/>
      <w:lvlJc w:val="left"/>
      <w:pPr>
        <w:ind w:left="4320" w:hanging="360"/>
      </w:pPr>
      <w:rPr>
        <w:rFonts w:ascii="Wingdings" w:hAnsi="Wingdings" w:hint="default"/>
      </w:rPr>
    </w:lvl>
    <w:lvl w:ilvl="6" w:tplc="E88A8D00" w:tentative="1">
      <w:start w:val="1"/>
      <w:numFmt w:val="bullet"/>
      <w:lvlText w:val=""/>
      <w:lvlJc w:val="left"/>
      <w:pPr>
        <w:ind w:left="5040" w:hanging="360"/>
      </w:pPr>
      <w:rPr>
        <w:rFonts w:ascii="Symbol" w:hAnsi="Symbol" w:hint="default"/>
      </w:rPr>
    </w:lvl>
    <w:lvl w:ilvl="7" w:tplc="CEAADEDA" w:tentative="1">
      <w:start w:val="1"/>
      <w:numFmt w:val="bullet"/>
      <w:lvlText w:val="o"/>
      <w:lvlJc w:val="left"/>
      <w:pPr>
        <w:ind w:left="5760" w:hanging="360"/>
      </w:pPr>
      <w:rPr>
        <w:rFonts w:ascii="Courier New" w:hAnsi="Courier New" w:cs="Courier New" w:hint="default"/>
      </w:rPr>
    </w:lvl>
    <w:lvl w:ilvl="8" w:tplc="E620F2D6" w:tentative="1">
      <w:start w:val="1"/>
      <w:numFmt w:val="bullet"/>
      <w:lvlText w:val=""/>
      <w:lvlJc w:val="left"/>
      <w:pPr>
        <w:ind w:left="6480" w:hanging="360"/>
      </w:pPr>
      <w:rPr>
        <w:rFonts w:ascii="Wingdings" w:hAnsi="Wingdings" w:hint="default"/>
      </w:rPr>
    </w:lvl>
  </w:abstractNum>
  <w:abstractNum w:abstractNumId="14" w15:restartNumberingAfterBreak="0">
    <w:nsid w:val="2FC66DA6"/>
    <w:multiLevelType w:val="hybridMultilevel"/>
    <w:tmpl w:val="6AD4A9EC"/>
    <w:lvl w:ilvl="0" w:tplc="C554C35C">
      <w:start w:val="1"/>
      <w:numFmt w:val="bullet"/>
      <w:lvlText w:val=""/>
      <w:lvlJc w:val="left"/>
      <w:pPr>
        <w:ind w:left="720" w:hanging="360"/>
      </w:pPr>
      <w:rPr>
        <w:rFonts w:ascii="Symbol" w:hAnsi="Symbol" w:hint="default"/>
      </w:rPr>
    </w:lvl>
    <w:lvl w:ilvl="1" w:tplc="281661A0" w:tentative="1">
      <w:start w:val="1"/>
      <w:numFmt w:val="bullet"/>
      <w:lvlText w:val="o"/>
      <w:lvlJc w:val="left"/>
      <w:pPr>
        <w:ind w:left="1440" w:hanging="360"/>
      </w:pPr>
      <w:rPr>
        <w:rFonts w:ascii="Courier New" w:hAnsi="Courier New" w:cs="Courier New" w:hint="default"/>
      </w:rPr>
    </w:lvl>
    <w:lvl w:ilvl="2" w:tplc="B08EAACE" w:tentative="1">
      <w:start w:val="1"/>
      <w:numFmt w:val="bullet"/>
      <w:lvlText w:val=""/>
      <w:lvlJc w:val="left"/>
      <w:pPr>
        <w:ind w:left="2160" w:hanging="360"/>
      </w:pPr>
      <w:rPr>
        <w:rFonts w:ascii="Wingdings" w:hAnsi="Wingdings" w:hint="default"/>
      </w:rPr>
    </w:lvl>
    <w:lvl w:ilvl="3" w:tplc="2286EDBE" w:tentative="1">
      <w:start w:val="1"/>
      <w:numFmt w:val="bullet"/>
      <w:lvlText w:val=""/>
      <w:lvlJc w:val="left"/>
      <w:pPr>
        <w:ind w:left="2880" w:hanging="360"/>
      </w:pPr>
      <w:rPr>
        <w:rFonts w:ascii="Symbol" w:hAnsi="Symbol" w:hint="default"/>
      </w:rPr>
    </w:lvl>
    <w:lvl w:ilvl="4" w:tplc="1BE228E4" w:tentative="1">
      <w:start w:val="1"/>
      <w:numFmt w:val="bullet"/>
      <w:lvlText w:val="o"/>
      <w:lvlJc w:val="left"/>
      <w:pPr>
        <w:ind w:left="3600" w:hanging="360"/>
      </w:pPr>
      <w:rPr>
        <w:rFonts w:ascii="Courier New" w:hAnsi="Courier New" w:cs="Courier New" w:hint="default"/>
      </w:rPr>
    </w:lvl>
    <w:lvl w:ilvl="5" w:tplc="1128A148" w:tentative="1">
      <w:start w:val="1"/>
      <w:numFmt w:val="bullet"/>
      <w:lvlText w:val=""/>
      <w:lvlJc w:val="left"/>
      <w:pPr>
        <w:ind w:left="4320" w:hanging="360"/>
      </w:pPr>
      <w:rPr>
        <w:rFonts w:ascii="Wingdings" w:hAnsi="Wingdings" w:hint="default"/>
      </w:rPr>
    </w:lvl>
    <w:lvl w:ilvl="6" w:tplc="AF96BA40" w:tentative="1">
      <w:start w:val="1"/>
      <w:numFmt w:val="bullet"/>
      <w:lvlText w:val=""/>
      <w:lvlJc w:val="left"/>
      <w:pPr>
        <w:ind w:left="5040" w:hanging="360"/>
      </w:pPr>
      <w:rPr>
        <w:rFonts w:ascii="Symbol" w:hAnsi="Symbol" w:hint="default"/>
      </w:rPr>
    </w:lvl>
    <w:lvl w:ilvl="7" w:tplc="CF1AA93A" w:tentative="1">
      <w:start w:val="1"/>
      <w:numFmt w:val="bullet"/>
      <w:lvlText w:val="o"/>
      <w:lvlJc w:val="left"/>
      <w:pPr>
        <w:ind w:left="5760" w:hanging="360"/>
      </w:pPr>
      <w:rPr>
        <w:rFonts w:ascii="Courier New" w:hAnsi="Courier New" w:cs="Courier New" w:hint="default"/>
      </w:rPr>
    </w:lvl>
    <w:lvl w:ilvl="8" w:tplc="9D8EF26C" w:tentative="1">
      <w:start w:val="1"/>
      <w:numFmt w:val="bullet"/>
      <w:lvlText w:val=""/>
      <w:lvlJc w:val="left"/>
      <w:pPr>
        <w:ind w:left="6480" w:hanging="360"/>
      </w:pPr>
      <w:rPr>
        <w:rFonts w:ascii="Wingdings" w:hAnsi="Wingdings" w:hint="default"/>
      </w:rPr>
    </w:lvl>
  </w:abstractNum>
  <w:abstractNum w:abstractNumId="15" w15:restartNumberingAfterBreak="0">
    <w:nsid w:val="301552DF"/>
    <w:multiLevelType w:val="hybridMultilevel"/>
    <w:tmpl w:val="CF522D0E"/>
    <w:lvl w:ilvl="0" w:tplc="5406EC10">
      <w:start w:val="1"/>
      <w:numFmt w:val="bullet"/>
      <w:lvlText w:val=""/>
      <w:lvlJc w:val="left"/>
      <w:pPr>
        <w:ind w:left="720" w:hanging="360"/>
      </w:pPr>
      <w:rPr>
        <w:rFonts w:ascii="Symbol" w:hAnsi="Symbol" w:hint="default"/>
      </w:rPr>
    </w:lvl>
    <w:lvl w:ilvl="1" w:tplc="C8F02EB8" w:tentative="1">
      <w:start w:val="1"/>
      <w:numFmt w:val="bullet"/>
      <w:lvlText w:val="o"/>
      <w:lvlJc w:val="left"/>
      <w:pPr>
        <w:ind w:left="1440" w:hanging="360"/>
      </w:pPr>
      <w:rPr>
        <w:rFonts w:ascii="Courier New" w:hAnsi="Courier New" w:cs="Courier New" w:hint="default"/>
      </w:rPr>
    </w:lvl>
    <w:lvl w:ilvl="2" w:tplc="A57051DE" w:tentative="1">
      <w:start w:val="1"/>
      <w:numFmt w:val="bullet"/>
      <w:lvlText w:val=""/>
      <w:lvlJc w:val="left"/>
      <w:pPr>
        <w:ind w:left="2160" w:hanging="360"/>
      </w:pPr>
      <w:rPr>
        <w:rFonts w:ascii="Wingdings" w:hAnsi="Wingdings" w:hint="default"/>
      </w:rPr>
    </w:lvl>
    <w:lvl w:ilvl="3" w:tplc="3880DB5E" w:tentative="1">
      <w:start w:val="1"/>
      <w:numFmt w:val="bullet"/>
      <w:lvlText w:val=""/>
      <w:lvlJc w:val="left"/>
      <w:pPr>
        <w:ind w:left="2880" w:hanging="360"/>
      </w:pPr>
      <w:rPr>
        <w:rFonts w:ascii="Symbol" w:hAnsi="Symbol" w:hint="default"/>
      </w:rPr>
    </w:lvl>
    <w:lvl w:ilvl="4" w:tplc="4746B53E" w:tentative="1">
      <w:start w:val="1"/>
      <w:numFmt w:val="bullet"/>
      <w:lvlText w:val="o"/>
      <w:lvlJc w:val="left"/>
      <w:pPr>
        <w:ind w:left="3600" w:hanging="360"/>
      </w:pPr>
      <w:rPr>
        <w:rFonts w:ascii="Courier New" w:hAnsi="Courier New" w:cs="Courier New" w:hint="default"/>
      </w:rPr>
    </w:lvl>
    <w:lvl w:ilvl="5" w:tplc="9B6889F6" w:tentative="1">
      <w:start w:val="1"/>
      <w:numFmt w:val="bullet"/>
      <w:lvlText w:val=""/>
      <w:lvlJc w:val="left"/>
      <w:pPr>
        <w:ind w:left="4320" w:hanging="360"/>
      </w:pPr>
      <w:rPr>
        <w:rFonts w:ascii="Wingdings" w:hAnsi="Wingdings" w:hint="default"/>
      </w:rPr>
    </w:lvl>
    <w:lvl w:ilvl="6" w:tplc="06924EAE" w:tentative="1">
      <w:start w:val="1"/>
      <w:numFmt w:val="bullet"/>
      <w:lvlText w:val=""/>
      <w:lvlJc w:val="left"/>
      <w:pPr>
        <w:ind w:left="5040" w:hanging="360"/>
      </w:pPr>
      <w:rPr>
        <w:rFonts w:ascii="Symbol" w:hAnsi="Symbol" w:hint="default"/>
      </w:rPr>
    </w:lvl>
    <w:lvl w:ilvl="7" w:tplc="D314500E" w:tentative="1">
      <w:start w:val="1"/>
      <w:numFmt w:val="bullet"/>
      <w:lvlText w:val="o"/>
      <w:lvlJc w:val="left"/>
      <w:pPr>
        <w:ind w:left="5760" w:hanging="360"/>
      </w:pPr>
      <w:rPr>
        <w:rFonts w:ascii="Courier New" w:hAnsi="Courier New" w:cs="Courier New" w:hint="default"/>
      </w:rPr>
    </w:lvl>
    <w:lvl w:ilvl="8" w:tplc="9B0A7FB0" w:tentative="1">
      <w:start w:val="1"/>
      <w:numFmt w:val="bullet"/>
      <w:lvlText w:val=""/>
      <w:lvlJc w:val="left"/>
      <w:pPr>
        <w:ind w:left="6480" w:hanging="360"/>
      </w:pPr>
      <w:rPr>
        <w:rFonts w:ascii="Wingdings" w:hAnsi="Wingdings" w:hint="default"/>
      </w:rPr>
    </w:lvl>
  </w:abstractNum>
  <w:abstractNum w:abstractNumId="16" w15:restartNumberingAfterBreak="0">
    <w:nsid w:val="33032F7A"/>
    <w:multiLevelType w:val="hybridMultilevel"/>
    <w:tmpl w:val="BCF6CB56"/>
    <w:lvl w:ilvl="0" w:tplc="716CA9E6">
      <w:start w:val="1"/>
      <w:numFmt w:val="bullet"/>
      <w:lvlText w:val=""/>
      <w:lvlJc w:val="left"/>
      <w:pPr>
        <w:ind w:left="720" w:hanging="360"/>
      </w:pPr>
      <w:rPr>
        <w:rFonts w:ascii="Symbol" w:hAnsi="Symbol" w:hint="default"/>
      </w:rPr>
    </w:lvl>
    <w:lvl w:ilvl="1" w:tplc="5B367F64" w:tentative="1">
      <w:start w:val="1"/>
      <w:numFmt w:val="bullet"/>
      <w:lvlText w:val="o"/>
      <w:lvlJc w:val="left"/>
      <w:pPr>
        <w:ind w:left="1440" w:hanging="360"/>
      </w:pPr>
      <w:rPr>
        <w:rFonts w:ascii="Courier New" w:hAnsi="Courier New" w:cs="Courier New" w:hint="default"/>
      </w:rPr>
    </w:lvl>
    <w:lvl w:ilvl="2" w:tplc="99A826FE" w:tentative="1">
      <w:start w:val="1"/>
      <w:numFmt w:val="bullet"/>
      <w:lvlText w:val=""/>
      <w:lvlJc w:val="left"/>
      <w:pPr>
        <w:ind w:left="2160" w:hanging="360"/>
      </w:pPr>
      <w:rPr>
        <w:rFonts w:ascii="Wingdings" w:hAnsi="Wingdings" w:hint="default"/>
      </w:rPr>
    </w:lvl>
    <w:lvl w:ilvl="3" w:tplc="3FD89392" w:tentative="1">
      <w:start w:val="1"/>
      <w:numFmt w:val="bullet"/>
      <w:lvlText w:val=""/>
      <w:lvlJc w:val="left"/>
      <w:pPr>
        <w:ind w:left="2880" w:hanging="360"/>
      </w:pPr>
      <w:rPr>
        <w:rFonts w:ascii="Symbol" w:hAnsi="Symbol" w:hint="default"/>
      </w:rPr>
    </w:lvl>
    <w:lvl w:ilvl="4" w:tplc="EB12A352" w:tentative="1">
      <w:start w:val="1"/>
      <w:numFmt w:val="bullet"/>
      <w:lvlText w:val="o"/>
      <w:lvlJc w:val="left"/>
      <w:pPr>
        <w:ind w:left="3600" w:hanging="360"/>
      </w:pPr>
      <w:rPr>
        <w:rFonts w:ascii="Courier New" w:hAnsi="Courier New" w:cs="Courier New" w:hint="default"/>
      </w:rPr>
    </w:lvl>
    <w:lvl w:ilvl="5" w:tplc="33606D48" w:tentative="1">
      <w:start w:val="1"/>
      <w:numFmt w:val="bullet"/>
      <w:lvlText w:val=""/>
      <w:lvlJc w:val="left"/>
      <w:pPr>
        <w:ind w:left="4320" w:hanging="360"/>
      </w:pPr>
      <w:rPr>
        <w:rFonts w:ascii="Wingdings" w:hAnsi="Wingdings" w:hint="default"/>
      </w:rPr>
    </w:lvl>
    <w:lvl w:ilvl="6" w:tplc="EEBEB25C" w:tentative="1">
      <w:start w:val="1"/>
      <w:numFmt w:val="bullet"/>
      <w:lvlText w:val=""/>
      <w:lvlJc w:val="left"/>
      <w:pPr>
        <w:ind w:left="5040" w:hanging="360"/>
      </w:pPr>
      <w:rPr>
        <w:rFonts w:ascii="Symbol" w:hAnsi="Symbol" w:hint="default"/>
      </w:rPr>
    </w:lvl>
    <w:lvl w:ilvl="7" w:tplc="23E0C6CA" w:tentative="1">
      <w:start w:val="1"/>
      <w:numFmt w:val="bullet"/>
      <w:lvlText w:val="o"/>
      <w:lvlJc w:val="left"/>
      <w:pPr>
        <w:ind w:left="5760" w:hanging="360"/>
      </w:pPr>
      <w:rPr>
        <w:rFonts w:ascii="Courier New" w:hAnsi="Courier New" w:cs="Courier New" w:hint="default"/>
      </w:rPr>
    </w:lvl>
    <w:lvl w:ilvl="8" w:tplc="E9DC229A" w:tentative="1">
      <w:start w:val="1"/>
      <w:numFmt w:val="bullet"/>
      <w:lvlText w:val=""/>
      <w:lvlJc w:val="left"/>
      <w:pPr>
        <w:ind w:left="6480" w:hanging="360"/>
      </w:pPr>
      <w:rPr>
        <w:rFonts w:ascii="Wingdings" w:hAnsi="Wingdings" w:hint="default"/>
      </w:rPr>
    </w:lvl>
  </w:abstractNum>
  <w:abstractNum w:abstractNumId="17" w15:restartNumberingAfterBreak="0">
    <w:nsid w:val="36C26E1F"/>
    <w:multiLevelType w:val="hybridMultilevel"/>
    <w:tmpl w:val="E494AAEE"/>
    <w:lvl w:ilvl="0" w:tplc="3998F0C4">
      <w:start w:val="1"/>
      <w:numFmt w:val="decimal"/>
      <w:lvlText w:val="%1."/>
      <w:lvlJc w:val="left"/>
      <w:pPr>
        <w:ind w:left="1440" w:hanging="360"/>
      </w:pPr>
    </w:lvl>
    <w:lvl w:ilvl="1" w:tplc="29C021E2">
      <w:start w:val="1"/>
      <w:numFmt w:val="lowerLetter"/>
      <w:lvlText w:val="%2."/>
      <w:lvlJc w:val="left"/>
      <w:pPr>
        <w:ind w:left="2160" w:hanging="360"/>
      </w:pPr>
    </w:lvl>
    <w:lvl w:ilvl="2" w:tplc="39BE8BB2">
      <w:start w:val="1"/>
      <w:numFmt w:val="lowerRoman"/>
      <w:lvlText w:val="%3."/>
      <w:lvlJc w:val="right"/>
      <w:pPr>
        <w:ind w:left="2880" w:hanging="180"/>
      </w:pPr>
    </w:lvl>
    <w:lvl w:ilvl="3" w:tplc="BA98EB3E">
      <w:start w:val="1"/>
      <w:numFmt w:val="decimal"/>
      <w:lvlText w:val="%4."/>
      <w:lvlJc w:val="left"/>
      <w:pPr>
        <w:ind w:left="3600" w:hanging="360"/>
      </w:pPr>
    </w:lvl>
    <w:lvl w:ilvl="4" w:tplc="477000C4">
      <w:start w:val="1"/>
      <w:numFmt w:val="lowerLetter"/>
      <w:lvlText w:val="%5."/>
      <w:lvlJc w:val="left"/>
      <w:pPr>
        <w:ind w:left="4320" w:hanging="360"/>
      </w:pPr>
    </w:lvl>
    <w:lvl w:ilvl="5" w:tplc="B9D0E080">
      <w:start w:val="1"/>
      <w:numFmt w:val="lowerRoman"/>
      <w:lvlText w:val="%6."/>
      <w:lvlJc w:val="right"/>
      <w:pPr>
        <w:ind w:left="5040" w:hanging="180"/>
      </w:pPr>
    </w:lvl>
    <w:lvl w:ilvl="6" w:tplc="1160DDC6">
      <w:start w:val="1"/>
      <w:numFmt w:val="decimal"/>
      <w:lvlText w:val="%7."/>
      <w:lvlJc w:val="left"/>
      <w:pPr>
        <w:ind w:left="5760" w:hanging="360"/>
      </w:pPr>
    </w:lvl>
    <w:lvl w:ilvl="7" w:tplc="7F264B42">
      <w:start w:val="1"/>
      <w:numFmt w:val="lowerLetter"/>
      <w:lvlText w:val="%8."/>
      <w:lvlJc w:val="left"/>
      <w:pPr>
        <w:ind w:left="6480" w:hanging="360"/>
      </w:pPr>
    </w:lvl>
    <w:lvl w:ilvl="8" w:tplc="7F60F3D0">
      <w:start w:val="1"/>
      <w:numFmt w:val="lowerRoman"/>
      <w:lvlText w:val="%9."/>
      <w:lvlJc w:val="right"/>
      <w:pPr>
        <w:ind w:left="7200" w:hanging="180"/>
      </w:pPr>
    </w:lvl>
  </w:abstractNum>
  <w:abstractNum w:abstractNumId="18" w15:restartNumberingAfterBreak="0">
    <w:nsid w:val="381E2356"/>
    <w:multiLevelType w:val="hybridMultilevel"/>
    <w:tmpl w:val="CDEA3764"/>
    <w:lvl w:ilvl="0" w:tplc="8D46307A">
      <w:start w:val="1"/>
      <w:numFmt w:val="bullet"/>
      <w:lvlText w:val=""/>
      <w:lvlJc w:val="left"/>
      <w:pPr>
        <w:ind w:left="720" w:hanging="360"/>
      </w:pPr>
      <w:rPr>
        <w:rFonts w:ascii="Symbol" w:hAnsi="Symbol" w:hint="default"/>
      </w:rPr>
    </w:lvl>
    <w:lvl w:ilvl="1" w:tplc="4438AF6C" w:tentative="1">
      <w:start w:val="1"/>
      <w:numFmt w:val="bullet"/>
      <w:lvlText w:val="o"/>
      <w:lvlJc w:val="left"/>
      <w:pPr>
        <w:ind w:left="1440" w:hanging="360"/>
      </w:pPr>
      <w:rPr>
        <w:rFonts w:ascii="Courier New" w:hAnsi="Courier New" w:cs="Courier New" w:hint="default"/>
      </w:rPr>
    </w:lvl>
    <w:lvl w:ilvl="2" w:tplc="3F5ACE36" w:tentative="1">
      <w:start w:val="1"/>
      <w:numFmt w:val="bullet"/>
      <w:lvlText w:val=""/>
      <w:lvlJc w:val="left"/>
      <w:pPr>
        <w:ind w:left="2160" w:hanging="360"/>
      </w:pPr>
      <w:rPr>
        <w:rFonts w:ascii="Wingdings" w:hAnsi="Wingdings" w:hint="default"/>
      </w:rPr>
    </w:lvl>
    <w:lvl w:ilvl="3" w:tplc="7D92EDCA" w:tentative="1">
      <w:start w:val="1"/>
      <w:numFmt w:val="bullet"/>
      <w:lvlText w:val=""/>
      <w:lvlJc w:val="left"/>
      <w:pPr>
        <w:ind w:left="2880" w:hanging="360"/>
      </w:pPr>
      <w:rPr>
        <w:rFonts w:ascii="Symbol" w:hAnsi="Symbol" w:hint="default"/>
      </w:rPr>
    </w:lvl>
    <w:lvl w:ilvl="4" w:tplc="FBF82412" w:tentative="1">
      <w:start w:val="1"/>
      <w:numFmt w:val="bullet"/>
      <w:lvlText w:val="o"/>
      <w:lvlJc w:val="left"/>
      <w:pPr>
        <w:ind w:left="3600" w:hanging="360"/>
      </w:pPr>
      <w:rPr>
        <w:rFonts w:ascii="Courier New" w:hAnsi="Courier New" w:cs="Courier New" w:hint="default"/>
      </w:rPr>
    </w:lvl>
    <w:lvl w:ilvl="5" w:tplc="17E89CF4" w:tentative="1">
      <w:start w:val="1"/>
      <w:numFmt w:val="bullet"/>
      <w:lvlText w:val=""/>
      <w:lvlJc w:val="left"/>
      <w:pPr>
        <w:ind w:left="4320" w:hanging="360"/>
      </w:pPr>
      <w:rPr>
        <w:rFonts w:ascii="Wingdings" w:hAnsi="Wingdings" w:hint="default"/>
      </w:rPr>
    </w:lvl>
    <w:lvl w:ilvl="6" w:tplc="D4DED9D4" w:tentative="1">
      <w:start w:val="1"/>
      <w:numFmt w:val="bullet"/>
      <w:lvlText w:val=""/>
      <w:lvlJc w:val="left"/>
      <w:pPr>
        <w:ind w:left="5040" w:hanging="360"/>
      </w:pPr>
      <w:rPr>
        <w:rFonts w:ascii="Symbol" w:hAnsi="Symbol" w:hint="default"/>
      </w:rPr>
    </w:lvl>
    <w:lvl w:ilvl="7" w:tplc="5B2E8656" w:tentative="1">
      <w:start w:val="1"/>
      <w:numFmt w:val="bullet"/>
      <w:lvlText w:val="o"/>
      <w:lvlJc w:val="left"/>
      <w:pPr>
        <w:ind w:left="5760" w:hanging="360"/>
      </w:pPr>
      <w:rPr>
        <w:rFonts w:ascii="Courier New" w:hAnsi="Courier New" w:cs="Courier New" w:hint="default"/>
      </w:rPr>
    </w:lvl>
    <w:lvl w:ilvl="8" w:tplc="2C3C4D1A" w:tentative="1">
      <w:start w:val="1"/>
      <w:numFmt w:val="bullet"/>
      <w:lvlText w:val=""/>
      <w:lvlJc w:val="left"/>
      <w:pPr>
        <w:ind w:left="6480" w:hanging="360"/>
      </w:pPr>
      <w:rPr>
        <w:rFonts w:ascii="Wingdings" w:hAnsi="Wingdings" w:hint="default"/>
      </w:rPr>
    </w:lvl>
  </w:abstractNum>
  <w:abstractNum w:abstractNumId="19" w15:restartNumberingAfterBreak="0">
    <w:nsid w:val="3A576CD7"/>
    <w:multiLevelType w:val="hybridMultilevel"/>
    <w:tmpl w:val="9D88D7BC"/>
    <w:lvl w:ilvl="0" w:tplc="6C6850D4">
      <w:start w:val="1"/>
      <w:numFmt w:val="bullet"/>
      <w:lvlText w:val=""/>
      <w:lvlJc w:val="left"/>
      <w:pPr>
        <w:ind w:left="720" w:hanging="360"/>
      </w:pPr>
      <w:rPr>
        <w:rFonts w:ascii="Symbol" w:hAnsi="Symbol" w:hint="default"/>
      </w:rPr>
    </w:lvl>
    <w:lvl w:ilvl="1" w:tplc="641C1B9A" w:tentative="1">
      <w:start w:val="1"/>
      <w:numFmt w:val="bullet"/>
      <w:lvlText w:val="o"/>
      <w:lvlJc w:val="left"/>
      <w:pPr>
        <w:ind w:left="1440" w:hanging="360"/>
      </w:pPr>
      <w:rPr>
        <w:rFonts w:ascii="Courier New" w:hAnsi="Courier New" w:cs="Courier New" w:hint="default"/>
      </w:rPr>
    </w:lvl>
    <w:lvl w:ilvl="2" w:tplc="41C23A20" w:tentative="1">
      <w:start w:val="1"/>
      <w:numFmt w:val="bullet"/>
      <w:lvlText w:val=""/>
      <w:lvlJc w:val="left"/>
      <w:pPr>
        <w:ind w:left="2160" w:hanging="360"/>
      </w:pPr>
      <w:rPr>
        <w:rFonts w:ascii="Wingdings" w:hAnsi="Wingdings" w:hint="default"/>
      </w:rPr>
    </w:lvl>
    <w:lvl w:ilvl="3" w:tplc="6DD029D8" w:tentative="1">
      <w:start w:val="1"/>
      <w:numFmt w:val="bullet"/>
      <w:lvlText w:val=""/>
      <w:lvlJc w:val="left"/>
      <w:pPr>
        <w:ind w:left="2880" w:hanging="360"/>
      </w:pPr>
      <w:rPr>
        <w:rFonts w:ascii="Symbol" w:hAnsi="Symbol" w:hint="default"/>
      </w:rPr>
    </w:lvl>
    <w:lvl w:ilvl="4" w:tplc="9DF8B68A" w:tentative="1">
      <w:start w:val="1"/>
      <w:numFmt w:val="bullet"/>
      <w:lvlText w:val="o"/>
      <w:lvlJc w:val="left"/>
      <w:pPr>
        <w:ind w:left="3600" w:hanging="360"/>
      </w:pPr>
      <w:rPr>
        <w:rFonts w:ascii="Courier New" w:hAnsi="Courier New" w:cs="Courier New" w:hint="default"/>
      </w:rPr>
    </w:lvl>
    <w:lvl w:ilvl="5" w:tplc="7BE2FE78" w:tentative="1">
      <w:start w:val="1"/>
      <w:numFmt w:val="bullet"/>
      <w:lvlText w:val=""/>
      <w:lvlJc w:val="left"/>
      <w:pPr>
        <w:ind w:left="4320" w:hanging="360"/>
      </w:pPr>
      <w:rPr>
        <w:rFonts w:ascii="Wingdings" w:hAnsi="Wingdings" w:hint="default"/>
      </w:rPr>
    </w:lvl>
    <w:lvl w:ilvl="6" w:tplc="F8B01294" w:tentative="1">
      <w:start w:val="1"/>
      <w:numFmt w:val="bullet"/>
      <w:lvlText w:val=""/>
      <w:lvlJc w:val="left"/>
      <w:pPr>
        <w:ind w:left="5040" w:hanging="360"/>
      </w:pPr>
      <w:rPr>
        <w:rFonts w:ascii="Symbol" w:hAnsi="Symbol" w:hint="default"/>
      </w:rPr>
    </w:lvl>
    <w:lvl w:ilvl="7" w:tplc="3FCE1966" w:tentative="1">
      <w:start w:val="1"/>
      <w:numFmt w:val="bullet"/>
      <w:lvlText w:val="o"/>
      <w:lvlJc w:val="left"/>
      <w:pPr>
        <w:ind w:left="5760" w:hanging="360"/>
      </w:pPr>
      <w:rPr>
        <w:rFonts w:ascii="Courier New" w:hAnsi="Courier New" w:cs="Courier New" w:hint="default"/>
      </w:rPr>
    </w:lvl>
    <w:lvl w:ilvl="8" w:tplc="C3CE7080" w:tentative="1">
      <w:start w:val="1"/>
      <w:numFmt w:val="bullet"/>
      <w:lvlText w:val=""/>
      <w:lvlJc w:val="left"/>
      <w:pPr>
        <w:ind w:left="6480" w:hanging="360"/>
      </w:pPr>
      <w:rPr>
        <w:rFonts w:ascii="Wingdings" w:hAnsi="Wingdings" w:hint="default"/>
      </w:rPr>
    </w:lvl>
  </w:abstractNum>
  <w:abstractNum w:abstractNumId="20" w15:restartNumberingAfterBreak="0">
    <w:nsid w:val="3C7B0C7C"/>
    <w:multiLevelType w:val="hybridMultilevel"/>
    <w:tmpl w:val="81AAC25C"/>
    <w:lvl w:ilvl="0" w:tplc="2556960E">
      <w:start w:val="1"/>
      <w:numFmt w:val="bullet"/>
      <w:lvlText w:val=""/>
      <w:lvlJc w:val="left"/>
      <w:pPr>
        <w:ind w:left="720" w:hanging="360"/>
      </w:pPr>
      <w:rPr>
        <w:rFonts w:ascii="Symbol" w:hAnsi="Symbol" w:hint="default"/>
      </w:rPr>
    </w:lvl>
    <w:lvl w:ilvl="1" w:tplc="0ACCAA42">
      <w:start w:val="1"/>
      <w:numFmt w:val="bullet"/>
      <w:lvlText w:val="o"/>
      <w:lvlJc w:val="left"/>
      <w:pPr>
        <w:ind w:left="1440" w:hanging="360"/>
      </w:pPr>
      <w:rPr>
        <w:rFonts w:ascii="Courier New" w:hAnsi="Courier New" w:cs="Courier New" w:hint="default"/>
      </w:rPr>
    </w:lvl>
    <w:lvl w:ilvl="2" w:tplc="26B8D814">
      <w:start w:val="1"/>
      <w:numFmt w:val="bullet"/>
      <w:lvlText w:val=""/>
      <w:lvlJc w:val="left"/>
      <w:pPr>
        <w:ind w:left="2160" w:hanging="360"/>
      </w:pPr>
      <w:rPr>
        <w:rFonts w:ascii="Wingdings" w:hAnsi="Wingdings" w:hint="default"/>
      </w:rPr>
    </w:lvl>
    <w:lvl w:ilvl="3" w:tplc="32BA5BAA">
      <w:start w:val="1"/>
      <w:numFmt w:val="bullet"/>
      <w:lvlText w:val=""/>
      <w:lvlJc w:val="left"/>
      <w:pPr>
        <w:ind w:left="2880" w:hanging="360"/>
      </w:pPr>
      <w:rPr>
        <w:rFonts w:ascii="Symbol" w:hAnsi="Symbol" w:hint="default"/>
      </w:rPr>
    </w:lvl>
    <w:lvl w:ilvl="4" w:tplc="F7E222BC">
      <w:start w:val="1"/>
      <w:numFmt w:val="bullet"/>
      <w:lvlText w:val="o"/>
      <w:lvlJc w:val="left"/>
      <w:pPr>
        <w:ind w:left="3600" w:hanging="360"/>
      </w:pPr>
      <w:rPr>
        <w:rFonts w:ascii="Courier New" w:hAnsi="Courier New" w:cs="Courier New" w:hint="default"/>
      </w:rPr>
    </w:lvl>
    <w:lvl w:ilvl="5" w:tplc="D4DCA2DC">
      <w:start w:val="1"/>
      <w:numFmt w:val="bullet"/>
      <w:lvlText w:val=""/>
      <w:lvlJc w:val="left"/>
      <w:pPr>
        <w:ind w:left="4320" w:hanging="360"/>
      </w:pPr>
      <w:rPr>
        <w:rFonts w:ascii="Wingdings" w:hAnsi="Wingdings" w:hint="default"/>
      </w:rPr>
    </w:lvl>
    <w:lvl w:ilvl="6" w:tplc="66A07C50">
      <w:start w:val="1"/>
      <w:numFmt w:val="bullet"/>
      <w:lvlText w:val=""/>
      <w:lvlJc w:val="left"/>
      <w:pPr>
        <w:ind w:left="5040" w:hanging="360"/>
      </w:pPr>
      <w:rPr>
        <w:rFonts w:ascii="Symbol" w:hAnsi="Symbol" w:hint="default"/>
      </w:rPr>
    </w:lvl>
    <w:lvl w:ilvl="7" w:tplc="968851EE">
      <w:start w:val="1"/>
      <w:numFmt w:val="bullet"/>
      <w:lvlText w:val="o"/>
      <w:lvlJc w:val="left"/>
      <w:pPr>
        <w:ind w:left="5760" w:hanging="360"/>
      </w:pPr>
      <w:rPr>
        <w:rFonts w:ascii="Courier New" w:hAnsi="Courier New" w:cs="Courier New" w:hint="default"/>
      </w:rPr>
    </w:lvl>
    <w:lvl w:ilvl="8" w:tplc="A9769C42">
      <w:start w:val="1"/>
      <w:numFmt w:val="bullet"/>
      <w:lvlText w:val=""/>
      <w:lvlJc w:val="left"/>
      <w:pPr>
        <w:ind w:left="6480" w:hanging="360"/>
      </w:pPr>
      <w:rPr>
        <w:rFonts w:ascii="Wingdings" w:hAnsi="Wingdings" w:hint="default"/>
      </w:rPr>
    </w:lvl>
  </w:abstractNum>
  <w:abstractNum w:abstractNumId="21" w15:restartNumberingAfterBreak="0">
    <w:nsid w:val="417979C2"/>
    <w:multiLevelType w:val="hybridMultilevel"/>
    <w:tmpl w:val="AF62B872"/>
    <w:lvl w:ilvl="0" w:tplc="065C3152">
      <w:start w:val="1"/>
      <w:numFmt w:val="bullet"/>
      <w:lvlText w:val=""/>
      <w:lvlJc w:val="left"/>
      <w:pPr>
        <w:ind w:left="902" w:hanging="360"/>
      </w:pPr>
      <w:rPr>
        <w:rFonts w:ascii="Symbol" w:hAnsi="Symbol" w:hint="default"/>
      </w:rPr>
    </w:lvl>
    <w:lvl w:ilvl="1" w:tplc="6A082470" w:tentative="1">
      <w:start w:val="1"/>
      <w:numFmt w:val="bullet"/>
      <w:lvlText w:val="o"/>
      <w:lvlJc w:val="left"/>
      <w:pPr>
        <w:ind w:left="1622" w:hanging="360"/>
      </w:pPr>
      <w:rPr>
        <w:rFonts w:ascii="Courier New" w:hAnsi="Courier New" w:cs="Courier New" w:hint="default"/>
      </w:rPr>
    </w:lvl>
    <w:lvl w:ilvl="2" w:tplc="2200B4DA" w:tentative="1">
      <w:start w:val="1"/>
      <w:numFmt w:val="bullet"/>
      <w:lvlText w:val=""/>
      <w:lvlJc w:val="left"/>
      <w:pPr>
        <w:ind w:left="2342" w:hanging="360"/>
      </w:pPr>
      <w:rPr>
        <w:rFonts w:ascii="Wingdings" w:hAnsi="Wingdings" w:hint="default"/>
      </w:rPr>
    </w:lvl>
    <w:lvl w:ilvl="3" w:tplc="8A345B0E" w:tentative="1">
      <w:start w:val="1"/>
      <w:numFmt w:val="bullet"/>
      <w:lvlText w:val=""/>
      <w:lvlJc w:val="left"/>
      <w:pPr>
        <w:ind w:left="3062" w:hanging="360"/>
      </w:pPr>
      <w:rPr>
        <w:rFonts w:ascii="Symbol" w:hAnsi="Symbol" w:hint="default"/>
      </w:rPr>
    </w:lvl>
    <w:lvl w:ilvl="4" w:tplc="808E2B82" w:tentative="1">
      <w:start w:val="1"/>
      <w:numFmt w:val="bullet"/>
      <w:lvlText w:val="o"/>
      <w:lvlJc w:val="left"/>
      <w:pPr>
        <w:ind w:left="3782" w:hanging="360"/>
      </w:pPr>
      <w:rPr>
        <w:rFonts w:ascii="Courier New" w:hAnsi="Courier New" w:cs="Courier New" w:hint="default"/>
      </w:rPr>
    </w:lvl>
    <w:lvl w:ilvl="5" w:tplc="A12804A4" w:tentative="1">
      <w:start w:val="1"/>
      <w:numFmt w:val="bullet"/>
      <w:lvlText w:val=""/>
      <w:lvlJc w:val="left"/>
      <w:pPr>
        <w:ind w:left="4502" w:hanging="360"/>
      </w:pPr>
      <w:rPr>
        <w:rFonts w:ascii="Wingdings" w:hAnsi="Wingdings" w:hint="default"/>
      </w:rPr>
    </w:lvl>
    <w:lvl w:ilvl="6" w:tplc="61F6A494" w:tentative="1">
      <w:start w:val="1"/>
      <w:numFmt w:val="bullet"/>
      <w:lvlText w:val=""/>
      <w:lvlJc w:val="left"/>
      <w:pPr>
        <w:ind w:left="5222" w:hanging="360"/>
      </w:pPr>
      <w:rPr>
        <w:rFonts w:ascii="Symbol" w:hAnsi="Symbol" w:hint="default"/>
      </w:rPr>
    </w:lvl>
    <w:lvl w:ilvl="7" w:tplc="370AFAD6" w:tentative="1">
      <w:start w:val="1"/>
      <w:numFmt w:val="bullet"/>
      <w:lvlText w:val="o"/>
      <w:lvlJc w:val="left"/>
      <w:pPr>
        <w:ind w:left="5942" w:hanging="360"/>
      </w:pPr>
      <w:rPr>
        <w:rFonts w:ascii="Courier New" w:hAnsi="Courier New" w:cs="Courier New" w:hint="default"/>
      </w:rPr>
    </w:lvl>
    <w:lvl w:ilvl="8" w:tplc="9092DA50" w:tentative="1">
      <w:start w:val="1"/>
      <w:numFmt w:val="bullet"/>
      <w:lvlText w:val=""/>
      <w:lvlJc w:val="left"/>
      <w:pPr>
        <w:ind w:left="6662" w:hanging="360"/>
      </w:pPr>
      <w:rPr>
        <w:rFonts w:ascii="Wingdings" w:hAnsi="Wingdings" w:hint="default"/>
      </w:rPr>
    </w:lvl>
  </w:abstractNum>
  <w:abstractNum w:abstractNumId="22" w15:restartNumberingAfterBreak="0">
    <w:nsid w:val="467C404B"/>
    <w:multiLevelType w:val="hybridMultilevel"/>
    <w:tmpl w:val="F26A7D40"/>
    <w:lvl w:ilvl="0" w:tplc="D9E0EF2A">
      <w:start w:val="1"/>
      <w:numFmt w:val="bullet"/>
      <w:lvlText w:val=""/>
      <w:lvlJc w:val="left"/>
      <w:pPr>
        <w:ind w:left="720" w:hanging="360"/>
      </w:pPr>
      <w:rPr>
        <w:rFonts w:ascii="Wingdings" w:hAnsi="Wingdings" w:hint="default"/>
        <w:sz w:val="22"/>
        <w:szCs w:val="22"/>
      </w:rPr>
    </w:lvl>
    <w:lvl w:ilvl="1" w:tplc="E07EECF6">
      <w:start w:val="1"/>
      <w:numFmt w:val="bullet"/>
      <w:lvlText w:val="o"/>
      <w:lvlJc w:val="left"/>
      <w:pPr>
        <w:ind w:left="1440" w:hanging="360"/>
      </w:pPr>
      <w:rPr>
        <w:rFonts w:ascii="Courier New" w:hAnsi="Courier New" w:cs="Courier New" w:hint="default"/>
      </w:rPr>
    </w:lvl>
    <w:lvl w:ilvl="2" w:tplc="334A172C">
      <w:start w:val="1"/>
      <w:numFmt w:val="bullet"/>
      <w:lvlText w:val=""/>
      <w:lvlJc w:val="left"/>
      <w:pPr>
        <w:ind w:left="2160" w:hanging="360"/>
      </w:pPr>
      <w:rPr>
        <w:rFonts w:ascii="Wingdings" w:hAnsi="Wingdings" w:hint="default"/>
      </w:rPr>
    </w:lvl>
    <w:lvl w:ilvl="3" w:tplc="54025A42">
      <w:start w:val="1"/>
      <w:numFmt w:val="bullet"/>
      <w:lvlText w:val=""/>
      <w:lvlJc w:val="left"/>
      <w:pPr>
        <w:ind w:left="2880" w:hanging="360"/>
      </w:pPr>
      <w:rPr>
        <w:rFonts w:ascii="Symbol" w:hAnsi="Symbol" w:hint="default"/>
      </w:rPr>
    </w:lvl>
    <w:lvl w:ilvl="4" w:tplc="05107A7C">
      <w:start w:val="1"/>
      <w:numFmt w:val="bullet"/>
      <w:lvlText w:val="o"/>
      <w:lvlJc w:val="left"/>
      <w:pPr>
        <w:ind w:left="3600" w:hanging="360"/>
      </w:pPr>
      <w:rPr>
        <w:rFonts w:ascii="Courier New" w:hAnsi="Courier New" w:cs="Courier New" w:hint="default"/>
      </w:rPr>
    </w:lvl>
    <w:lvl w:ilvl="5" w:tplc="7EC836F0">
      <w:start w:val="1"/>
      <w:numFmt w:val="bullet"/>
      <w:lvlText w:val=""/>
      <w:lvlJc w:val="left"/>
      <w:pPr>
        <w:ind w:left="4320" w:hanging="360"/>
      </w:pPr>
      <w:rPr>
        <w:rFonts w:ascii="Wingdings" w:hAnsi="Wingdings" w:hint="default"/>
      </w:rPr>
    </w:lvl>
    <w:lvl w:ilvl="6" w:tplc="F76EE6EC">
      <w:start w:val="1"/>
      <w:numFmt w:val="bullet"/>
      <w:lvlText w:val=""/>
      <w:lvlJc w:val="left"/>
      <w:pPr>
        <w:ind w:left="5040" w:hanging="360"/>
      </w:pPr>
      <w:rPr>
        <w:rFonts w:ascii="Symbol" w:hAnsi="Symbol" w:hint="default"/>
      </w:rPr>
    </w:lvl>
    <w:lvl w:ilvl="7" w:tplc="6E669700">
      <w:start w:val="1"/>
      <w:numFmt w:val="bullet"/>
      <w:lvlText w:val="o"/>
      <w:lvlJc w:val="left"/>
      <w:pPr>
        <w:ind w:left="5760" w:hanging="360"/>
      </w:pPr>
      <w:rPr>
        <w:rFonts w:ascii="Courier New" w:hAnsi="Courier New" w:cs="Courier New" w:hint="default"/>
      </w:rPr>
    </w:lvl>
    <w:lvl w:ilvl="8" w:tplc="3EF47870">
      <w:start w:val="1"/>
      <w:numFmt w:val="bullet"/>
      <w:lvlText w:val=""/>
      <w:lvlJc w:val="left"/>
      <w:pPr>
        <w:ind w:left="6480" w:hanging="360"/>
      </w:pPr>
      <w:rPr>
        <w:rFonts w:ascii="Wingdings" w:hAnsi="Wingdings" w:hint="default"/>
      </w:rPr>
    </w:lvl>
  </w:abstractNum>
  <w:abstractNum w:abstractNumId="23" w15:restartNumberingAfterBreak="0">
    <w:nsid w:val="4D1F5365"/>
    <w:multiLevelType w:val="hybridMultilevel"/>
    <w:tmpl w:val="0A0016B0"/>
    <w:lvl w:ilvl="0" w:tplc="3752D58E">
      <w:start w:val="1"/>
      <w:numFmt w:val="bullet"/>
      <w:lvlText w:val=""/>
      <w:lvlJc w:val="left"/>
      <w:pPr>
        <w:ind w:left="781" w:hanging="360"/>
      </w:pPr>
      <w:rPr>
        <w:rFonts w:ascii="Symbol" w:hAnsi="Symbol" w:hint="default"/>
      </w:rPr>
    </w:lvl>
    <w:lvl w:ilvl="1" w:tplc="56383D00" w:tentative="1">
      <w:start w:val="1"/>
      <w:numFmt w:val="bullet"/>
      <w:lvlText w:val="o"/>
      <w:lvlJc w:val="left"/>
      <w:pPr>
        <w:ind w:left="1501" w:hanging="360"/>
      </w:pPr>
      <w:rPr>
        <w:rFonts w:ascii="Courier New" w:hAnsi="Courier New" w:cs="Courier New" w:hint="default"/>
      </w:rPr>
    </w:lvl>
    <w:lvl w:ilvl="2" w:tplc="8A12397A" w:tentative="1">
      <w:start w:val="1"/>
      <w:numFmt w:val="bullet"/>
      <w:lvlText w:val=""/>
      <w:lvlJc w:val="left"/>
      <w:pPr>
        <w:ind w:left="2221" w:hanging="360"/>
      </w:pPr>
      <w:rPr>
        <w:rFonts w:ascii="Wingdings" w:hAnsi="Wingdings" w:hint="default"/>
      </w:rPr>
    </w:lvl>
    <w:lvl w:ilvl="3" w:tplc="56B6DED0" w:tentative="1">
      <w:start w:val="1"/>
      <w:numFmt w:val="bullet"/>
      <w:lvlText w:val=""/>
      <w:lvlJc w:val="left"/>
      <w:pPr>
        <w:ind w:left="2941" w:hanging="360"/>
      </w:pPr>
      <w:rPr>
        <w:rFonts w:ascii="Symbol" w:hAnsi="Symbol" w:hint="default"/>
      </w:rPr>
    </w:lvl>
    <w:lvl w:ilvl="4" w:tplc="5B926C32" w:tentative="1">
      <w:start w:val="1"/>
      <w:numFmt w:val="bullet"/>
      <w:lvlText w:val="o"/>
      <w:lvlJc w:val="left"/>
      <w:pPr>
        <w:ind w:left="3661" w:hanging="360"/>
      </w:pPr>
      <w:rPr>
        <w:rFonts w:ascii="Courier New" w:hAnsi="Courier New" w:cs="Courier New" w:hint="default"/>
      </w:rPr>
    </w:lvl>
    <w:lvl w:ilvl="5" w:tplc="4E06BF46" w:tentative="1">
      <w:start w:val="1"/>
      <w:numFmt w:val="bullet"/>
      <w:lvlText w:val=""/>
      <w:lvlJc w:val="left"/>
      <w:pPr>
        <w:ind w:left="4381" w:hanging="360"/>
      </w:pPr>
      <w:rPr>
        <w:rFonts w:ascii="Wingdings" w:hAnsi="Wingdings" w:hint="default"/>
      </w:rPr>
    </w:lvl>
    <w:lvl w:ilvl="6" w:tplc="7D06C846" w:tentative="1">
      <w:start w:val="1"/>
      <w:numFmt w:val="bullet"/>
      <w:lvlText w:val=""/>
      <w:lvlJc w:val="left"/>
      <w:pPr>
        <w:ind w:left="5101" w:hanging="360"/>
      </w:pPr>
      <w:rPr>
        <w:rFonts w:ascii="Symbol" w:hAnsi="Symbol" w:hint="default"/>
      </w:rPr>
    </w:lvl>
    <w:lvl w:ilvl="7" w:tplc="D9F89D6C" w:tentative="1">
      <w:start w:val="1"/>
      <w:numFmt w:val="bullet"/>
      <w:lvlText w:val="o"/>
      <w:lvlJc w:val="left"/>
      <w:pPr>
        <w:ind w:left="5821" w:hanging="360"/>
      </w:pPr>
      <w:rPr>
        <w:rFonts w:ascii="Courier New" w:hAnsi="Courier New" w:cs="Courier New" w:hint="default"/>
      </w:rPr>
    </w:lvl>
    <w:lvl w:ilvl="8" w:tplc="D8944C9C" w:tentative="1">
      <w:start w:val="1"/>
      <w:numFmt w:val="bullet"/>
      <w:lvlText w:val=""/>
      <w:lvlJc w:val="left"/>
      <w:pPr>
        <w:ind w:left="6541" w:hanging="360"/>
      </w:pPr>
      <w:rPr>
        <w:rFonts w:ascii="Wingdings" w:hAnsi="Wingdings" w:hint="default"/>
      </w:rPr>
    </w:lvl>
  </w:abstractNum>
  <w:abstractNum w:abstractNumId="24" w15:restartNumberingAfterBreak="0">
    <w:nsid w:val="4F6926F8"/>
    <w:multiLevelType w:val="hybridMultilevel"/>
    <w:tmpl w:val="86BEC77E"/>
    <w:lvl w:ilvl="0" w:tplc="2828FFB6">
      <w:start w:val="1"/>
      <w:numFmt w:val="bullet"/>
      <w:lvlText w:val=""/>
      <w:lvlJc w:val="left"/>
      <w:pPr>
        <w:ind w:left="360" w:hanging="360"/>
      </w:pPr>
      <w:rPr>
        <w:rFonts w:ascii="Symbol" w:hAnsi="Symbol" w:hint="default"/>
      </w:rPr>
    </w:lvl>
    <w:lvl w:ilvl="1" w:tplc="6F185ED2" w:tentative="1">
      <w:start w:val="1"/>
      <w:numFmt w:val="bullet"/>
      <w:lvlText w:val="o"/>
      <w:lvlJc w:val="left"/>
      <w:pPr>
        <w:ind w:left="1080" w:hanging="360"/>
      </w:pPr>
      <w:rPr>
        <w:rFonts w:ascii="Courier New" w:hAnsi="Courier New" w:cs="Courier New" w:hint="default"/>
      </w:rPr>
    </w:lvl>
    <w:lvl w:ilvl="2" w:tplc="2DBE573E" w:tentative="1">
      <w:start w:val="1"/>
      <w:numFmt w:val="bullet"/>
      <w:lvlText w:val=""/>
      <w:lvlJc w:val="left"/>
      <w:pPr>
        <w:ind w:left="1800" w:hanging="360"/>
      </w:pPr>
      <w:rPr>
        <w:rFonts w:ascii="Wingdings" w:hAnsi="Wingdings" w:hint="default"/>
      </w:rPr>
    </w:lvl>
    <w:lvl w:ilvl="3" w:tplc="7B7CCAD6" w:tentative="1">
      <w:start w:val="1"/>
      <w:numFmt w:val="bullet"/>
      <w:lvlText w:val=""/>
      <w:lvlJc w:val="left"/>
      <w:pPr>
        <w:ind w:left="2520" w:hanging="360"/>
      </w:pPr>
      <w:rPr>
        <w:rFonts w:ascii="Symbol" w:hAnsi="Symbol" w:hint="default"/>
      </w:rPr>
    </w:lvl>
    <w:lvl w:ilvl="4" w:tplc="06AEBFCA" w:tentative="1">
      <w:start w:val="1"/>
      <w:numFmt w:val="bullet"/>
      <w:lvlText w:val="o"/>
      <w:lvlJc w:val="left"/>
      <w:pPr>
        <w:ind w:left="3240" w:hanging="360"/>
      </w:pPr>
      <w:rPr>
        <w:rFonts w:ascii="Courier New" w:hAnsi="Courier New" w:cs="Courier New" w:hint="default"/>
      </w:rPr>
    </w:lvl>
    <w:lvl w:ilvl="5" w:tplc="3342E5E8" w:tentative="1">
      <w:start w:val="1"/>
      <w:numFmt w:val="bullet"/>
      <w:lvlText w:val=""/>
      <w:lvlJc w:val="left"/>
      <w:pPr>
        <w:ind w:left="3960" w:hanging="360"/>
      </w:pPr>
      <w:rPr>
        <w:rFonts w:ascii="Wingdings" w:hAnsi="Wingdings" w:hint="default"/>
      </w:rPr>
    </w:lvl>
    <w:lvl w:ilvl="6" w:tplc="84B4505A" w:tentative="1">
      <w:start w:val="1"/>
      <w:numFmt w:val="bullet"/>
      <w:lvlText w:val=""/>
      <w:lvlJc w:val="left"/>
      <w:pPr>
        <w:ind w:left="4680" w:hanging="360"/>
      </w:pPr>
      <w:rPr>
        <w:rFonts w:ascii="Symbol" w:hAnsi="Symbol" w:hint="default"/>
      </w:rPr>
    </w:lvl>
    <w:lvl w:ilvl="7" w:tplc="09BE3578" w:tentative="1">
      <w:start w:val="1"/>
      <w:numFmt w:val="bullet"/>
      <w:lvlText w:val="o"/>
      <w:lvlJc w:val="left"/>
      <w:pPr>
        <w:ind w:left="5400" w:hanging="360"/>
      </w:pPr>
      <w:rPr>
        <w:rFonts w:ascii="Courier New" w:hAnsi="Courier New" w:cs="Courier New" w:hint="default"/>
      </w:rPr>
    </w:lvl>
    <w:lvl w:ilvl="8" w:tplc="99640250" w:tentative="1">
      <w:start w:val="1"/>
      <w:numFmt w:val="bullet"/>
      <w:lvlText w:val=""/>
      <w:lvlJc w:val="left"/>
      <w:pPr>
        <w:ind w:left="6120" w:hanging="360"/>
      </w:pPr>
      <w:rPr>
        <w:rFonts w:ascii="Wingdings" w:hAnsi="Wingdings" w:hint="default"/>
      </w:rPr>
    </w:lvl>
  </w:abstractNum>
  <w:abstractNum w:abstractNumId="25" w15:restartNumberingAfterBreak="0">
    <w:nsid w:val="50174E12"/>
    <w:multiLevelType w:val="hybridMultilevel"/>
    <w:tmpl w:val="7A02FCB2"/>
    <w:lvl w:ilvl="0" w:tplc="24E607EA">
      <w:start w:val="1"/>
      <w:numFmt w:val="bullet"/>
      <w:lvlText w:val=""/>
      <w:lvlJc w:val="left"/>
      <w:pPr>
        <w:ind w:left="720" w:hanging="360"/>
      </w:pPr>
      <w:rPr>
        <w:rFonts w:ascii="Symbol" w:hAnsi="Symbol" w:hint="default"/>
      </w:rPr>
    </w:lvl>
    <w:lvl w:ilvl="1" w:tplc="FA8A127A" w:tentative="1">
      <w:start w:val="1"/>
      <w:numFmt w:val="bullet"/>
      <w:lvlText w:val="o"/>
      <w:lvlJc w:val="left"/>
      <w:pPr>
        <w:ind w:left="1440" w:hanging="360"/>
      </w:pPr>
      <w:rPr>
        <w:rFonts w:ascii="Courier New" w:hAnsi="Courier New" w:cs="Courier New" w:hint="default"/>
      </w:rPr>
    </w:lvl>
    <w:lvl w:ilvl="2" w:tplc="560EE694" w:tentative="1">
      <w:start w:val="1"/>
      <w:numFmt w:val="bullet"/>
      <w:lvlText w:val=""/>
      <w:lvlJc w:val="left"/>
      <w:pPr>
        <w:ind w:left="2160" w:hanging="360"/>
      </w:pPr>
      <w:rPr>
        <w:rFonts w:ascii="Wingdings" w:hAnsi="Wingdings" w:hint="default"/>
      </w:rPr>
    </w:lvl>
    <w:lvl w:ilvl="3" w:tplc="5C3AA068" w:tentative="1">
      <w:start w:val="1"/>
      <w:numFmt w:val="bullet"/>
      <w:lvlText w:val=""/>
      <w:lvlJc w:val="left"/>
      <w:pPr>
        <w:ind w:left="2880" w:hanging="360"/>
      </w:pPr>
      <w:rPr>
        <w:rFonts w:ascii="Symbol" w:hAnsi="Symbol" w:hint="default"/>
      </w:rPr>
    </w:lvl>
    <w:lvl w:ilvl="4" w:tplc="32E04408" w:tentative="1">
      <w:start w:val="1"/>
      <w:numFmt w:val="bullet"/>
      <w:lvlText w:val="o"/>
      <w:lvlJc w:val="left"/>
      <w:pPr>
        <w:ind w:left="3600" w:hanging="360"/>
      </w:pPr>
      <w:rPr>
        <w:rFonts w:ascii="Courier New" w:hAnsi="Courier New" w:cs="Courier New" w:hint="default"/>
      </w:rPr>
    </w:lvl>
    <w:lvl w:ilvl="5" w:tplc="443AF278" w:tentative="1">
      <w:start w:val="1"/>
      <w:numFmt w:val="bullet"/>
      <w:lvlText w:val=""/>
      <w:lvlJc w:val="left"/>
      <w:pPr>
        <w:ind w:left="4320" w:hanging="360"/>
      </w:pPr>
      <w:rPr>
        <w:rFonts w:ascii="Wingdings" w:hAnsi="Wingdings" w:hint="default"/>
      </w:rPr>
    </w:lvl>
    <w:lvl w:ilvl="6" w:tplc="A40E31B8" w:tentative="1">
      <w:start w:val="1"/>
      <w:numFmt w:val="bullet"/>
      <w:lvlText w:val=""/>
      <w:lvlJc w:val="left"/>
      <w:pPr>
        <w:ind w:left="5040" w:hanging="360"/>
      </w:pPr>
      <w:rPr>
        <w:rFonts w:ascii="Symbol" w:hAnsi="Symbol" w:hint="default"/>
      </w:rPr>
    </w:lvl>
    <w:lvl w:ilvl="7" w:tplc="CB90E59A" w:tentative="1">
      <w:start w:val="1"/>
      <w:numFmt w:val="bullet"/>
      <w:lvlText w:val="o"/>
      <w:lvlJc w:val="left"/>
      <w:pPr>
        <w:ind w:left="5760" w:hanging="360"/>
      </w:pPr>
      <w:rPr>
        <w:rFonts w:ascii="Courier New" w:hAnsi="Courier New" w:cs="Courier New" w:hint="default"/>
      </w:rPr>
    </w:lvl>
    <w:lvl w:ilvl="8" w:tplc="D3E45DD0" w:tentative="1">
      <w:start w:val="1"/>
      <w:numFmt w:val="bullet"/>
      <w:lvlText w:val=""/>
      <w:lvlJc w:val="left"/>
      <w:pPr>
        <w:ind w:left="6480" w:hanging="360"/>
      </w:pPr>
      <w:rPr>
        <w:rFonts w:ascii="Wingdings" w:hAnsi="Wingdings" w:hint="default"/>
      </w:rPr>
    </w:lvl>
  </w:abstractNum>
  <w:abstractNum w:abstractNumId="26" w15:restartNumberingAfterBreak="0">
    <w:nsid w:val="501F7417"/>
    <w:multiLevelType w:val="hybridMultilevel"/>
    <w:tmpl w:val="320AFE7A"/>
    <w:lvl w:ilvl="0" w:tplc="3DB22B26">
      <w:start w:val="1"/>
      <w:numFmt w:val="bullet"/>
      <w:lvlText w:val=""/>
      <w:lvlJc w:val="left"/>
      <w:pPr>
        <w:ind w:left="720" w:hanging="360"/>
      </w:pPr>
      <w:rPr>
        <w:rFonts w:ascii="Wingdings" w:hAnsi="Wingdings" w:hint="default"/>
        <w:sz w:val="22"/>
        <w:szCs w:val="22"/>
      </w:rPr>
    </w:lvl>
    <w:lvl w:ilvl="1" w:tplc="BC5245B8">
      <w:start w:val="1"/>
      <w:numFmt w:val="bullet"/>
      <w:lvlText w:val="o"/>
      <w:lvlJc w:val="left"/>
      <w:pPr>
        <w:ind w:left="1440" w:hanging="360"/>
      </w:pPr>
      <w:rPr>
        <w:rFonts w:ascii="Courier New" w:hAnsi="Courier New" w:cs="Courier New" w:hint="default"/>
      </w:rPr>
    </w:lvl>
    <w:lvl w:ilvl="2" w:tplc="F61E642C">
      <w:start w:val="1"/>
      <w:numFmt w:val="bullet"/>
      <w:lvlText w:val=""/>
      <w:lvlJc w:val="left"/>
      <w:pPr>
        <w:ind w:left="2160" w:hanging="360"/>
      </w:pPr>
      <w:rPr>
        <w:rFonts w:ascii="Wingdings" w:hAnsi="Wingdings" w:hint="default"/>
      </w:rPr>
    </w:lvl>
    <w:lvl w:ilvl="3" w:tplc="59860192">
      <w:start w:val="1"/>
      <w:numFmt w:val="bullet"/>
      <w:lvlText w:val=""/>
      <w:lvlJc w:val="left"/>
      <w:pPr>
        <w:ind w:left="2880" w:hanging="360"/>
      </w:pPr>
      <w:rPr>
        <w:rFonts w:ascii="Symbol" w:hAnsi="Symbol" w:hint="default"/>
      </w:rPr>
    </w:lvl>
    <w:lvl w:ilvl="4" w:tplc="875672CA">
      <w:start w:val="1"/>
      <w:numFmt w:val="bullet"/>
      <w:lvlText w:val="o"/>
      <w:lvlJc w:val="left"/>
      <w:pPr>
        <w:ind w:left="3600" w:hanging="360"/>
      </w:pPr>
      <w:rPr>
        <w:rFonts w:ascii="Courier New" w:hAnsi="Courier New" w:cs="Courier New" w:hint="default"/>
      </w:rPr>
    </w:lvl>
    <w:lvl w:ilvl="5" w:tplc="4B56806C">
      <w:start w:val="1"/>
      <w:numFmt w:val="bullet"/>
      <w:lvlText w:val=""/>
      <w:lvlJc w:val="left"/>
      <w:pPr>
        <w:ind w:left="4320" w:hanging="360"/>
      </w:pPr>
      <w:rPr>
        <w:rFonts w:ascii="Wingdings" w:hAnsi="Wingdings" w:hint="default"/>
      </w:rPr>
    </w:lvl>
    <w:lvl w:ilvl="6" w:tplc="2194A608">
      <w:start w:val="1"/>
      <w:numFmt w:val="bullet"/>
      <w:lvlText w:val=""/>
      <w:lvlJc w:val="left"/>
      <w:pPr>
        <w:ind w:left="5040" w:hanging="360"/>
      </w:pPr>
      <w:rPr>
        <w:rFonts w:ascii="Symbol" w:hAnsi="Symbol" w:hint="default"/>
      </w:rPr>
    </w:lvl>
    <w:lvl w:ilvl="7" w:tplc="2C8A053E">
      <w:start w:val="1"/>
      <w:numFmt w:val="bullet"/>
      <w:lvlText w:val="o"/>
      <w:lvlJc w:val="left"/>
      <w:pPr>
        <w:ind w:left="5760" w:hanging="360"/>
      </w:pPr>
      <w:rPr>
        <w:rFonts w:ascii="Courier New" w:hAnsi="Courier New" w:cs="Courier New" w:hint="default"/>
      </w:rPr>
    </w:lvl>
    <w:lvl w:ilvl="8" w:tplc="673E18A2">
      <w:start w:val="1"/>
      <w:numFmt w:val="bullet"/>
      <w:lvlText w:val=""/>
      <w:lvlJc w:val="left"/>
      <w:pPr>
        <w:ind w:left="6480" w:hanging="360"/>
      </w:pPr>
      <w:rPr>
        <w:rFonts w:ascii="Wingdings" w:hAnsi="Wingdings" w:hint="default"/>
      </w:rPr>
    </w:lvl>
  </w:abstractNum>
  <w:abstractNum w:abstractNumId="27" w15:restartNumberingAfterBreak="0">
    <w:nsid w:val="514047CA"/>
    <w:multiLevelType w:val="hybridMultilevel"/>
    <w:tmpl w:val="E2183BC0"/>
    <w:lvl w:ilvl="0" w:tplc="AF467D9E">
      <w:start w:val="1"/>
      <w:numFmt w:val="bullet"/>
      <w:lvlText w:val=""/>
      <w:lvlJc w:val="left"/>
      <w:pPr>
        <w:ind w:left="720" w:hanging="360"/>
      </w:pPr>
      <w:rPr>
        <w:rFonts w:ascii="Wingdings" w:hAnsi="Wingdings" w:hint="default"/>
      </w:rPr>
    </w:lvl>
    <w:lvl w:ilvl="1" w:tplc="92426B16">
      <w:start w:val="1"/>
      <w:numFmt w:val="bullet"/>
      <w:lvlText w:val=""/>
      <w:lvlJc w:val="left"/>
      <w:pPr>
        <w:ind w:left="1440" w:hanging="360"/>
      </w:pPr>
      <w:rPr>
        <w:rFonts w:ascii="Symbol" w:hAnsi="Symbol" w:hint="default"/>
      </w:rPr>
    </w:lvl>
    <w:lvl w:ilvl="2" w:tplc="8F60BBF0">
      <w:start w:val="1"/>
      <w:numFmt w:val="bullet"/>
      <w:lvlText w:val=""/>
      <w:lvlJc w:val="left"/>
      <w:pPr>
        <w:ind w:left="2160" w:hanging="360"/>
      </w:pPr>
      <w:rPr>
        <w:rFonts w:ascii="Wingdings" w:hAnsi="Wingdings" w:hint="default"/>
      </w:rPr>
    </w:lvl>
    <w:lvl w:ilvl="3" w:tplc="8E68D7AC">
      <w:start w:val="1"/>
      <w:numFmt w:val="bullet"/>
      <w:lvlText w:val=""/>
      <w:lvlJc w:val="left"/>
      <w:pPr>
        <w:ind w:left="2880" w:hanging="360"/>
      </w:pPr>
      <w:rPr>
        <w:rFonts w:ascii="Symbol" w:hAnsi="Symbol" w:hint="default"/>
      </w:rPr>
    </w:lvl>
    <w:lvl w:ilvl="4" w:tplc="58C2625C">
      <w:start w:val="1"/>
      <w:numFmt w:val="bullet"/>
      <w:lvlText w:val="o"/>
      <w:lvlJc w:val="left"/>
      <w:pPr>
        <w:ind w:left="3600" w:hanging="360"/>
      </w:pPr>
      <w:rPr>
        <w:rFonts w:ascii="Courier New" w:hAnsi="Courier New" w:cs="Courier New" w:hint="default"/>
      </w:rPr>
    </w:lvl>
    <w:lvl w:ilvl="5" w:tplc="DABE62EC">
      <w:start w:val="1"/>
      <w:numFmt w:val="bullet"/>
      <w:lvlText w:val=""/>
      <w:lvlJc w:val="left"/>
      <w:pPr>
        <w:ind w:left="4320" w:hanging="360"/>
      </w:pPr>
      <w:rPr>
        <w:rFonts w:ascii="Wingdings" w:hAnsi="Wingdings" w:hint="default"/>
      </w:rPr>
    </w:lvl>
    <w:lvl w:ilvl="6" w:tplc="510EECDE">
      <w:start w:val="1"/>
      <w:numFmt w:val="bullet"/>
      <w:lvlText w:val=""/>
      <w:lvlJc w:val="left"/>
      <w:pPr>
        <w:ind w:left="5040" w:hanging="360"/>
      </w:pPr>
      <w:rPr>
        <w:rFonts w:ascii="Symbol" w:hAnsi="Symbol" w:hint="default"/>
      </w:rPr>
    </w:lvl>
    <w:lvl w:ilvl="7" w:tplc="BB86B28A">
      <w:start w:val="1"/>
      <w:numFmt w:val="bullet"/>
      <w:lvlText w:val="o"/>
      <w:lvlJc w:val="left"/>
      <w:pPr>
        <w:ind w:left="5760" w:hanging="360"/>
      </w:pPr>
      <w:rPr>
        <w:rFonts w:ascii="Courier New" w:hAnsi="Courier New" w:cs="Courier New" w:hint="default"/>
      </w:rPr>
    </w:lvl>
    <w:lvl w:ilvl="8" w:tplc="F6444FE2">
      <w:start w:val="1"/>
      <w:numFmt w:val="bullet"/>
      <w:lvlText w:val=""/>
      <w:lvlJc w:val="left"/>
      <w:pPr>
        <w:ind w:left="6480" w:hanging="360"/>
      </w:pPr>
      <w:rPr>
        <w:rFonts w:ascii="Wingdings" w:hAnsi="Wingdings" w:hint="default"/>
      </w:rPr>
    </w:lvl>
  </w:abstractNum>
  <w:abstractNum w:abstractNumId="28" w15:restartNumberingAfterBreak="0">
    <w:nsid w:val="52EC7F0F"/>
    <w:multiLevelType w:val="hybridMultilevel"/>
    <w:tmpl w:val="7B4C85F8"/>
    <w:lvl w:ilvl="0" w:tplc="FDF6584A">
      <w:start w:val="1"/>
      <w:numFmt w:val="bullet"/>
      <w:lvlText w:val=""/>
      <w:lvlJc w:val="left"/>
      <w:pPr>
        <w:ind w:left="720" w:hanging="360"/>
      </w:pPr>
      <w:rPr>
        <w:rFonts w:ascii="Symbol" w:hAnsi="Symbol" w:hint="default"/>
      </w:rPr>
    </w:lvl>
    <w:lvl w:ilvl="1" w:tplc="8E34EAD8" w:tentative="1">
      <w:start w:val="1"/>
      <w:numFmt w:val="bullet"/>
      <w:lvlText w:val="o"/>
      <w:lvlJc w:val="left"/>
      <w:pPr>
        <w:ind w:left="1440" w:hanging="360"/>
      </w:pPr>
      <w:rPr>
        <w:rFonts w:ascii="Courier New" w:hAnsi="Courier New" w:cs="Courier New" w:hint="default"/>
      </w:rPr>
    </w:lvl>
    <w:lvl w:ilvl="2" w:tplc="DF5208A6" w:tentative="1">
      <w:start w:val="1"/>
      <w:numFmt w:val="bullet"/>
      <w:lvlText w:val=""/>
      <w:lvlJc w:val="left"/>
      <w:pPr>
        <w:ind w:left="2160" w:hanging="360"/>
      </w:pPr>
      <w:rPr>
        <w:rFonts w:ascii="Wingdings" w:hAnsi="Wingdings" w:hint="default"/>
      </w:rPr>
    </w:lvl>
    <w:lvl w:ilvl="3" w:tplc="08D4EBC6" w:tentative="1">
      <w:start w:val="1"/>
      <w:numFmt w:val="bullet"/>
      <w:lvlText w:val=""/>
      <w:lvlJc w:val="left"/>
      <w:pPr>
        <w:ind w:left="2880" w:hanging="360"/>
      </w:pPr>
      <w:rPr>
        <w:rFonts w:ascii="Symbol" w:hAnsi="Symbol" w:hint="default"/>
      </w:rPr>
    </w:lvl>
    <w:lvl w:ilvl="4" w:tplc="892AA35C" w:tentative="1">
      <w:start w:val="1"/>
      <w:numFmt w:val="bullet"/>
      <w:lvlText w:val="o"/>
      <w:lvlJc w:val="left"/>
      <w:pPr>
        <w:ind w:left="3600" w:hanging="360"/>
      </w:pPr>
      <w:rPr>
        <w:rFonts w:ascii="Courier New" w:hAnsi="Courier New" w:cs="Courier New" w:hint="default"/>
      </w:rPr>
    </w:lvl>
    <w:lvl w:ilvl="5" w:tplc="8F3A09AC" w:tentative="1">
      <w:start w:val="1"/>
      <w:numFmt w:val="bullet"/>
      <w:lvlText w:val=""/>
      <w:lvlJc w:val="left"/>
      <w:pPr>
        <w:ind w:left="4320" w:hanging="360"/>
      </w:pPr>
      <w:rPr>
        <w:rFonts w:ascii="Wingdings" w:hAnsi="Wingdings" w:hint="default"/>
      </w:rPr>
    </w:lvl>
    <w:lvl w:ilvl="6" w:tplc="6586358A" w:tentative="1">
      <w:start w:val="1"/>
      <w:numFmt w:val="bullet"/>
      <w:lvlText w:val=""/>
      <w:lvlJc w:val="left"/>
      <w:pPr>
        <w:ind w:left="5040" w:hanging="360"/>
      </w:pPr>
      <w:rPr>
        <w:rFonts w:ascii="Symbol" w:hAnsi="Symbol" w:hint="default"/>
      </w:rPr>
    </w:lvl>
    <w:lvl w:ilvl="7" w:tplc="40DC9128" w:tentative="1">
      <w:start w:val="1"/>
      <w:numFmt w:val="bullet"/>
      <w:lvlText w:val="o"/>
      <w:lvlJc w:val="left"/>
      <w:pPr>
        <w:ind w:left="5760" w:hanging="360"/>
      </w:pPr>
      <w:rPr>
        <w:rFonts w:ascii="Courier New" w:hAnsi="Courier New" w:cs="Courier New" w:hint="default"/>
      </w:rPr>
    </w:lvl>
    <w:lvl w:ilvl="8" w:tplc="34561FFA" w:tentative="1">
      <w:start w:val="1"/>
      <w:numFmt w:val="bullet"/>
      <w:lvlText w:val=""/>
      <w:lvlJc w:val="left"/>
      <w:pPr>
        <w:ind w:left="6480" w:hanging="360"/>
      </w:pPr>
      <w:rPr>
        <w:rFonts w:ascii="Wingdings" w:hAnsi="Wingdings" w:hint="default"/>
      </w:rPr>
    </w:lvl>
  </w:abstractNum>
  <w:abstractNum w:abstractNumId="29" w15:restartNumberingAfterBreak="0">
    <w:nsid w:val="55403C25"/>
    <w:multiLevelType w:val="hybridMultilevel"/>
    <w:tmpl w:val="765416E8"/>
    <w:lvl w:ilvl="0" w:tplc="5070634E">
      <w:start w:val="1"/>
      <w:numFmt w:val="bullet"/>
      <w:lvlText w:val=""/>
      <w:lvlJc w:val="left"/>
      <w:pPr>
        <w:ind w:left="720" w:hanging="360"/>
      </w:pPr>
      <w:rPr>
        <w:rFonts w:ascii="Wingdings" w:hAnsi="Wingdings" w:hint="default"/>
        <w:sz w:val="22"/>
        <w:szCs w:val="22"/>
      </w:rPr>
    </w:lvl>
    <w:lvl w:ilvl="1" w:tplc="0E202716">
      <w:start w:val="1"/>
      <w:numFmt w:val="bullet"/>
      <w:lvlText w:val="o"/>
      <w:lvlJc w:val="left"/>
      <w:pPr>
        <w:ind w:left="1440" w:hanging="360"/>
      </w:pPr>
      <w:rPr>
        <w:rFonts w:ascii="Courier New" w:hAnsi="Courier New" w:cs="Courier New" w:hint="default"/>
      </w:rPr>
    </w:lvl>
    <w:lvl w:ilvl="2" w:tplc="F8FEEC30">
      <w:start w:val="1"/>
      <w:numFmt w:val="bullet"/>
      <w:lvlText w:val=""/>
      <w:lvlJc w:val="left"/>
      <w:pPr>
        <w:ind w:left="2160" w:hanging="360"/>
      </w:pPr>
      <w:rPr>
        <w:rFonts w:ascii="Wingdings" w:hAnsi="Wingdings" w:hint="default"/>
      </w:rPr>
    </w:lvl>
    <w:lvl w:ilvl="3" w:tplc="83ACEE60">
      <w:start w:val="1"/>
      <w:numFmt w:val="bullet"/>
      <w:lvlText w:val=""/>
      <w:lvlJc w:val="left"/>
      <w:pPr>
        <w:ind w:left="2880" w:hanging="360"/>
      </w:pPr>
      <w:rPr>
        <w:rFonts w:ascii="Symbol" w:hAnsi="Symbol" w:hint="default"/>
      </w:rPr>
    </w:lvl>
    <w:lvl w:ilvl="4" w:tplc="9144581A">
      <w:start w:val="1"/>
      <w:numFmt w:val="bullet"/>
      <w:lvlText w:val="o"/>
      <w:lvlJc w:val="left"/>
      <w:pPr>
        <w:ind w:left="3600" w:hanging="360"/>
      </w:pPr>
      <w:rPr>
        <w:rFonts w:ascii="Courier New" w:hAnsi="Courier New" w:cs="Courier New" w:hint="default"/>
      </w:rPr>
    </w:lvl>
    <w:lvl w:ilvl="5" w:tplc="7598DEAE">
      <w:start w:val="1"/>
      <w:numFmt w:val="bullet"/>
      <w:lvlText w:val=""/>
      <w:lvlJc w:val="left"/>
      <w:pPr>
        <w:ind w:left="4320" w:hanging="360"/>
      </w:pPr>
      <w:rPr>
        <w:rFonts w:ascii="Wingdings" w:hAnsi="Wingdings" w:hint="default"/>
      </w:rPr>
    </w:lvl>
    <w:lvl w:ilvl="6" w:tplc="554252C8">
      <w:start w:val="1"/>
      <w:numFmt w:val="bullet"/>
      <w:lvlText w:val=""/>
      <w:lvlJc w:val="left"/>
      <w:pPr>
        <w:ind w:left="5040" w:hanging="360"/>
      </w:pPr>
      <w:rPr>
        <w:rFonts w:ascii="Symbol" w:hAnsi="Symbol" w:hint="default"/>
      </w:rPr>
    </w:lvl>
    <w:lvl w:ilvl="7" w:tplc="45A08338">
      <w:start w:val="1"/>
      <w:numFmt w:val="bullet"/>
      <w:lvlText w:val="o"/>
      <w:lvlJc w:val="left"/>
      <w:pPr>
        <w:ind w:left="5760" w:hanging="360"/>
      </w:pPr>
      <w:rPr>
        <w:rFonts w:ascii="Courier New" w:hAnsi="Courier New" w:cs="Courier New" w:hint="default"/>
      </w:rPr>
    </w:lvl>
    <w:lvl w:ilvl="8" w:tplc="66065FCC">
      <w:start w:val="1"/>
      <w:numFmt w:val="bullet"/>
      <w:lvlText w:val=""/>
      <w:lvlJc w:val="left"/>
      <w:pPr>
        <w:ind w:left="6480" w:hanging="360"/>
      </w:pPr>
      <w:rPr>
        <w:rFonts w:ascii="Wingdings" w:hAnsi="Wingdings" w:hint="default"/>
      </w:rPr>
    </w:lvl>
  </w:abstractNum>
  <w:abstractNum w:abstractNumId="30" w15:restartNumberingAfterBreak="0">
    <w:nsid w:val="5A6B15A9"/>
    <w:multiLevelType w:val="hybridMultilevel"/>
    <w:tmpl w:val="5CCC5340"/>
    <w:lvl w:ilvl="0" w:tplc="C6EE3C2E">
      <w:start w:val="1"/>
      <w:numFmt w:val="bullet"/>
      <w:lvlText w:val=""/>
      <w:lvlJc w:val="left"/>
      <w:pPr>
        <w:ind w:left="720" w:hanging="360"/>
      </w:pPr>
      <w:rPr>
        <w:rFonts w:ascii="Symbol" w:hAnsi="Symbol" w:hint="default"/>
      </w:rPr>
    </w:lvl>
    <w:lvl w:ilvl="1" w:tplc="28188CD4" w:tentative="1">
      <w:start w:val="1"/>
      <w:numFmt w:val="bullet"/>
      <w:lvlText w:val="o"/>
      <w:lvlJc w:val="left"/>
      <w:pPr>
        <w:ind w:left="1440" w:hanging="360"/>
      </w:pPr>
      <w:rPr>
        <w:rFonts w:ascii="Courier New" w:hAnsi="Courier New" w:cs="Courier New" w:hint="default"/>
      </w:rPr>
    </w:lvl>
    <w:lvl w:ilvl="2" w:tplc="059C8F00" w:tentative="1">
      <w:start w:val="1"/>
      <w:numFmt w:val="bullet"/>
      <w:lvlText w:val=""/>
      <w:lvlJc w:val="left"/>
      <w:pPr>
        <w:ind w:left="2160" w:hanging="360"/>
      </w:pPr>
      <w:rPr>
        <w:rFonts w:ascii="Wingdings" w:hAnsi="Wingdings" w:hint="default"/>
      </w:rPr>
    </w:lvl>
    <w:lvl w:ilvl="3" w:tplc="5F5CB5E6" w:tentative="1">
      <w:start w:val="1"/>
      <w:numFmt w:val="bullet"/>
      <w:lvlText w:val=""/>
      <w:lvlJc w:val="left"/>
      <w:pPr>
        <w:ind w:left="2880" w:hanging="360"/>
      </w:pPr>
      <w:rPr>
        <w:rFonts w:ascii="Symbol" w:hAnsi="Symbol" w:hint="default"/>
      </w:rPr>
    </w:lvl>
    <w:lvl w:ilvl="4" w:tplc="EC0AE67E" w:tentative="1">
      <w:start w:val="1"/>
      <w:numFmt w:val="bullet"/>
      <w:lvlText w:val="o"/>
      <w:lvlJc w:val="left"/>
      <w:pPr>
        <w:ind w:left="3600" w:hanging="360"/>
      </w:pPr>
      <w:rPr>
        <w:rFonts w:ascii="Courier New" w:hAnsi="Courier New" w:cs="Courier New" w:hint="default"/>
      </w:rPr>
    </w:lvl>
    <w:lvl w:ilvl="5" w:tplc="17FC8828" w:tentative="1">
      <w:start w:val="1"/>
      <w:numFmt w:val="bullet"/>
      <w:lvlText w:val=""/>
      <w:lvlJc w:val="left"/>
      <w:pPr>
        <w:ind w:left="4320" w:hanging="360"/>
      </w:pPr>
      <w:rPr>
        <w:rFonts w:ascii="Wingdings" w:hAnsi="Wingdings" w:hint="default"/>
      </w:rPr>
    </w:lvl>
    <w:lvl w:ilvl="6" w:tplc="EE780A42" w:tentative="1">
      <w:start w:val="1"/>
      <w:numFmt w:val="bullet"/>
      <w:lvlText w:val=""/>
      <w:lvlJc w:val="left"/>
      <w:pPr>
        <w:ind w:left="5040" w:hanging="360"/>
      </w:pPr>
      <w:rPr>
        <w:rFonts w:ascii="Symbol" w:hAnsi="Symbol" w:hint="default"/>
      </w:rPr>
    </w:lvl>
    <w:lvl w:ilvl="7" w:tplc="CCEE3C04" w:tentative="1">
      <w:start w:val="1"/>
      <w:numFmt w:val="bullet"/>
      <w:lvlText w:val="o"/>
      <w:lvlJc w:val="left"/>
      <w:pPr>
        <w:ind w:left="5760" w:hanging="360"/>
      </w:pPr>
      <w:rPr>
        <w:rFonts w:ascii="Courier New" w:hAnsi="Courier New" w:cs="Courier New" w:hint="default"/>
      </w:rPr>
    </w:lvl>
    <w:lvl w:ilvl="8" w:tplc="BF1C23CE" w:tentative="1">
      <w:start w:val="1"/>
      <w:numFmt w:val="bullet"/>
      <w:lvlText w:val=""/>
      <w:lvlJc w:val="left"/>
      <w:pPr>
        <w:ind w:left="6480" w:hanging="360"/>
      </w:pPr>
      <w:rPr>
        <w:rFonts w:ascii="Wingdings" w:hAnsi="Wingdings" w:hint="default"/>
      </w:rPr>
    </w:lvl>
  </w:abstractNum>
  <w:abstractNum w:abstractNumId="31" w15:restartNumberingAfterBreak="0">
    <w:nsid w:val="5FD07676"/>
    <w:multiLevelType w:val="hybridMultilevel"/>
    <w:tmpl w:val="A7C6C536"/>
    <w:lvl w:ilvl="0" w:tplc="26BA2C06">
      <w:start w:val="1"/>
      <w:numFmt w:val="bullet"/>
      <w:lvlText w:val=""/>
      <w:lvlJc w:val="left"/>
      <w:pPr>
        <w:ind w:left="720" w:hanging="360"/>
      </w:pPr>
      <w:rPr>
        <w:rFonts w:ascii="Symbol" w:hAnsi="Symbol" w:hint="default"/>
      </w:rPr>
    </w:lvl>
    <w:lvl w:ilvl="1" w:tplc="4D229C50" w:tentative="1">
      <w:start w:val="1"/>
      <w:numFmt w:val="bullet"/>
      <w:lvlText w:val="o"/>
      <w:lvlJc w:val="left"/>
      <w:pPr>
        <w:ind w:left="1440" w:hanging="360"/>
      </w:pPr>
      <w:rPr>
        <w:rFonts w:ascii="Courier New" w:hAnsi="Courier New" w:cs="Courier New" w:hint="default"/>
      </w:rPr>
    </w:lvl>
    <w:lvl w:ilvl="2" w:tplc="59906A14" w:tentative="1">
      <w:start w:val="1"/>
      <w:numFmt w:val="bullet"/>
      <w:lvlText w:val=""/>
      <w:lvlJc w:val="left"/>
      <w:pPr>
        <w:ind w:left="2160" w:hanging="360"/>
      </w:pPr>
      <w:rPr>
        <w:rFonts w:ascii="Wingdings" w:hAnsi="Wingdings" w:hint="default"/>
      </w:rPr>
    </w:lvl>
    <w:lvl w:ilvl="3" w:tplc="F20432DC" w:tentative="1">
      <w:start w:val="1"/>
      <w:numFmt w:val="bullet"/>
      <w:lvlText w:val=""/>
      <w:lvlJc w:val="left"/>
      <w:pPr>
        <w:ind w:left="2880" w:hanging="360"/>
      </w:pPr>
      <w:rPr>
        <w:rFonts w:ascii="Symbol" w:hAnsi="Symbol" w:hint="default"/>
      </w:rPr>
    </w:lvl>
    <w:lvl w:ilvl="4" w:tplc="85105BCA" w:tentative="1">
      <w:start w:val="1"/>
      <w:numFmt w:val="bullet"/>
      <w:lvlText w:val="o"/>
      <w:lvlJc w:val="left"/>
      <w:pPr>
        <w:ind w:left="3600" w:hanging="360"/>
      </w:pPr>
      <w:rPr>
        <w:rFonts w:ascii="Courier New" w:hAnsi="Courier New" w:cs="Courier New" w:hint="default"/>
      </w:rPr>
    </w:lvl>
    <w:lvl w:ilvl="5" w:tplc="EACE767C" w:tentative="1">
      <w:start w:val="1"/>
      <w:numFmt w:val="bullet"/>
      <w:lvlText w:val=""/>
      <w:lvlJc w:val="left"/>
      <w:pPr>
        <w:ind w:left="4320" w:hanging="360"/>
      </w:pPr>
      <w:rPr>
        <w:rFonts w:ascii="Wingdings" w:hAnsi="Wingdings" w:hint="default"/>
      </w:rPr>
    </w:lvl>
    <w:lvl w:ilvl="6" w:tplc="EF82CFAE" w:tentative="1">
      <w:start w:val="1"/>
      <w:numFmt w:val="bullet"/>
      <w:lvlText w:val=""/>
      <w:lvlJc w:val="left"/>
      <w:pPr>
        <w:ind w:left="5040" w:hanging="360"/>
      </w:pPr>
      <w:rPr>
        <w:rFonts w:ascii="Symbol" w:hAnsi="Symbol" w:hint="default"/>
      </w:rPr>
    </w:lvl>
    <w:lvl w:ilvl="7" w:tplc="F75ACD5C" w:tentative="1">
      <w:start w:val="1"/>
      <w:numFmt w:val="bullet"/>
      <w:lvlText w:val="o"/>
      <w:lvlJc w:val="left"/>
      <w:pPr>
        <w:ind w:left="5760" w:hanging="360"/>
      </w:pPr>
      <w:rPr>
        <w:rFonts w:ascii="Courier New" w:hAnsi="Courier New" w:cs="Courier New" w:hint="default"/>
      </w:rPr>
    </w:lvl>
    <w:lvl w:ilvl="8" w:tplc="D966AF04" w:tentative="1">
      <w:start w:val="1"/>
      <w:numFmt w:val="bullet"/>
      <w:lvlText w:val=""/>
      <w:lvlJc w:val="left"/>
      <w:pPr>
        <w:ind w:left="6480" w:hanging="360"/>
      </w:pPr>
      <w:rPr>
        <w:rFonts w:ascii="Wingdings" w:hAnsi="Wingdings" w:hint="default"/>
      </w:rPr>
    </w:lvl>
  </w:abstractNum>
  <w:abstractNum w:abstractNumId="32" w15:restartNumberingAfterBreak="0">
    <w:nsid w:val="6C972E40"/>
    <w:multiLevelType w:val="hybridMultilevel"/>
    <w:tmpl w:val="348C2D5A"/>
    <w:lvl w:ilvl="0" w:tplc="D01A133E">
      <w:start w:val="1"/>
      <w:numFmt w:val="bullet"/>
      <w:lvlText w:val=""/>
      <w:lvlJc w:val="left"/>
      <w:pPr>
        <w:ind w:left="720" w:hanging="360"/>
      </w:pPr>
      <w:rPr>
        <w:rFonts w:ascii="Symbol" w:hAnsi="Symbol" w:hint="default"/>
      </w:rPr>
    </w:lvl>
    <w:lvl w:ilvl="1" w:tplc="8162FDF6" w:tentative="1">
      <w:start w:val="1"/>
      <w:numFmt w:val="bullet"/>
      <w:lvlText w:val="o"/>
      <w:lvlJc w:val="left"/>
      <w:pPr>
        <w:ind w:left="1440" w:hanging="360"/>
      </w:pPr>
      <w:rPr>
        <w:rFonts w:ascii="Courier New" w:hAnsi="Courier New" w:cs="Courier New" w:hint="default"/>
      </w:rPr>
    </w:lvl>
    <w:lvl w:ilvl="2" w:tplc="7CD43AF6" w:tentative="1">
      <w:start w:val="1"/>
      <w:numFmt w:val="bullet"/>
      <w:lvlText w:val=""/>
      <w:lvlJc w:val="left"/>
      <w:pPr>
        <w:ind w:left="2160" w:hanging="360"/>
      </w:pPr>
      <w:rPr>
        <w:rFonts w:ascii="Wingdings" w:hAnsi="Wingdings" w:hint="default"/>
      </w:rPr>
    </w:lvl>
    <w:lvl w:ilvl="3" w:tplc="7960EF6E" w:tentative="1">
      <w:start w:val="1"/>
      <w:numFmt w:val="bullet"/>
      <w:lvlText w:val=""/>
      <w:lvlJc w:val="left"/>
      <w:pPr>
        <w:ind w:left="2880" w:hanging="360"/>
      </w:pPr>
      <w:rPr>
        <w:rFonts w:ascii="Symbol" w:hAnsi="Symbol" w:hint="default"/>
      </w:rPr>
    </w:lvl>
    <w:lvl w:ilvl="4" w:tplc="D9E4B3A8" w:tentative="1">
      <w:start w:val="1"/>
      <w:numFmt w:val="bullet"/>
      <w:lvlText w:val="o"/>
      <w:lvlJc w:val="left"/>
      <w:pPr>
        <w:ind w:left="3600" w:hanging="360"/>
      </w:pPr>
      <w:rPr>
        <w:rFonts w:ascii="Courier New" w:hAnsi="Courier New" w:cs="Courier New" w:hint="default"/>
      </w:rPr>
    </w:lvl>
    <w:lvl w:ilvl="5" w:tplc="E1446FCA" w:tentative="1">
      <w:start w:val="1"/>
      <w:numFmt w:val="bullet"/>
      <w:lvlText w:val=""/>
      <w:lvlJc w:val="left"/>
      <w:pPr>
        <w:ind w:left="4320" w:hanging="360"/>
      </w:pPr>
      <w:rPr>
        <w:rFonts w:ascii="Wingdings" w:hAnsi="Wingdings" w:hint="default"/>
      </w:rPr>
    </w:lvl>
    <w:lvl w:ilvl="6" w:tplc="2A9C2FE4" w:tentative="1">
      <w:start w:val="1"/>
      <w:numFmt w:val="bullet"/>
      <w:lvlText w:val=""/>
      <w:lvlJc w:val="left"/>
      <w:pPr>
        <w:ind w:left="5040" w:hanging="360"/>
      </w:pPr>
      <w:rPr>
        <w:rFonts w:ascii="Symbol" w:hAnsi="Symbol" w:hint="default"/>
      </w:rPr>
    </w:lvl>
    <w:lvl w:ilvl="7" w:tplc="84867B72" w:tentative="1">
      <w:start w:val="1"/>
      <w:numFmt w:val="bullet"/>
      <w:lvlText w:val="o"/>
      <w:lvlJc w:val="left"/>
      <w:pPr>
        <w:ind w:left="5760" w:hanging="360"/>
      </w:pPr>
      <w:rPr>
        <w:rFonts w:ascii="Courier New" w:hAnsi="Courier New" w:cs="Courier New" w:hint="default"/>
      </w:rPr>
    </w:lvl>
    <w:lvl w:ilvl="8" w:tplc="1FA8BD0A" w:tentative="1">
      <w:start w:val="1"/>
      <w:numFmt w:val="bullet"/>
      <w:lvlText w:val=""/>
      <w:lvlJc w:val="left"/>
      <w:pPr>
        <w:ind w:left="6480" w:hanging="360"/>
      </w:pPr>
      <w:rPr>
        <w:rFonts w:ascii="Wingdings" w:hAnsi="Wingdings" w:hint="default"/>
      </w:rPr>
    </w:lvl>
  </w:abstractNum>
  <w:abstractNum w:abstractNumId="33" w15:restartNumberingAfterBreak="0">
    <w:nsid w:val="6C9A2107"/>
    <w:multiLevelType w:val="hybridMultilevel"/>
    <w:tmpl w:val="ED1262CE"/>
    <w:lvl w:ilvl="0" w:tplc="D0E09812">
      <w:start w:val="1"/>
      <w:numFmt w:val="bullet"/>
      <w:lvlText w:val=""/>
      <w:lvlJc w:val="left"/>
      <w:pPr>
        <w:ind w:left="720" w:hanging="360"/>
      </w:pPr>
      <w:rPr>
        <w:rFonts w:ascii="Symbol" w:hAnsi="Symbol" w:hint="default"/>
      </w:rPr>
    </w:lvl>
    <w:lvl w:ilvl="1" w:tplc="5EEE447E" w:tentative="1">
      <w:start w:val="1"/>
      <w:numFmt w:val="bullet"/>
      <w:lvlText w:val="o"/>
      <w:lvlJc w:val="left"/>
      <w:pPr>
        <w:ind w:left="1440" w:hanging="360"/>
      </w:pPr>
      <w:rPr>
        <w:rFonts w:ascii="Courier New" w:hAnsi="Courier New" w:cs="Courier New" w:hint="default"/>
      </w:rPr>
    </w:lvl>
    <w:lvl w:ilvl="2" w:tplc="20F49576" w:tentative="1">
      <w:start w:val="1"/>
      <w:numFmt w:val="bullet"/>
      <w:lvlText w:val=""/>
      <w:lvlJc w:val="left"/>
      <w:pPr>
        <w:ind w:left="2160" w:hanging="360"/>
      </w:pPr>
      <w:rPr>
        <w:rFonts w:ascii="Wingdings" w:hAnsi="Wingdings" w:hint="default"/>
      </w:rPr>
    </w:lvl>
    <w:lvl w:ilvl="3" w:tplc="76F40430" w:tentative="1">
      <w:start w:val="1"/>
      <w:numFmt w:val="bullet"/>
      <w:lvlText w:val=""/>
      <w:lvlJc w:val="left"/>
      <w:pPr>
        <w:ind w:left="2880" w:hanging="360"/>
      </w:pPr>
      <w:rPr>
        <w:rFonts w:ascii="Symbol" w:hAnsi="Symbol" w:hint="default"/>
      </w:rPr>
    </w:lvl>
    <w:lvl w:ilvl="4" w:tplc="1E646514" w:tentative="1">
      <w:start w:val="1"/>
      <w:numFmt w:val="bullet"/>
      <w:lvlText w:val="o"/>
      <w:lvlJc w:val="left"/>
      <w:pPr>
        <w:ind w:left="3600" w:hanging="360"/>
      </w:pPr>
      <w:rPr>
        <w:rFonts w:ascii="Courier New" w:hAnsi="Courier New" w:cs="Courier New" w:hint="default"/>
      </w:rPr>
    </w:lvl>
    <w:lvl w:ilvl="5" w:tplc="36AA6370" w:tentative="1">
      <w:start w:val="1"/>
      <w:numFmt w:val="bullet"/>
      <w:lvlText w:val=""/>
      <w:lvlJc w:val="left"/>
      <w:pPr>
        <w:ind w:left="4320" w:hanging="360"/>
      </w:pPr>
      <w:rPr>
        <w:rFonts w:ascii="Wingdings" w:hAnsi="Wingdings" w:hint="default"/>
      </w:rPr>
    </w:lvl>
    <w:lvl w:ilvl="6" w:tplc="5392A22E" w:tentative="1">
      <w:start w:val="1"/>
      <w:numFmt w:val="bullet"/>
      <w:lvlText w:val=""/>
      <w:lvlJc w:val="left"/>
      <w:pPr>
        <w:ind w:left="5040" w:hanging="360"/>
      </w:pPr>
      <w:rPr>
        <w:rFonts w:ascii="Symbol" w:hAnsi="Symbol" w:hint="default"/>
      </w:rPr>
    </w:lvl>
    <w:lvl w:ilvl="7" w:tplc="4C3C1EA0" w:tentative="1">
      <w:start w:val="1"/>
      <w:numFmt w:val="bullet"/>
      <w:lvlText w:val="o"/>
      <w:lvlJc w:val="left"/>
      <w:pPr>
        <w:ind w:left="5760" w:hanging="360"/>
      </w:pPr>
      <w:rPr>
        <w:rFonts w:ascii="Courier New" w:hAnsi="Courier New" w:cs="Courier New" w:hint="default"/>
      </w:rPr>
    </w:lvl>
    <w:lvl w:ilvl="8" w:tplc="2F7C1312" w:tentative="1">
      <w:start w:val="1"/>
      <w:numFmt w:val="bullet"/>
      <w:lvlText w:val=""/>
      <w:lvlJc w:val="left"/>
      <w:pPr>
        <w:ind w:left="6480" w:hanging="360"/>
      </w:pPr>
      <w:rPr>
        <w:rFonts w:ascii="Wingdings" w:hAnsi="Wingdings" w:hint="default"/>
      </w:rPr>
    </w:lvl>
  </w:abstractNum>
  <w:abstractNum w:abstractNumId="34" w15:restartNumberingAfterBreak="0">
    <w:nsid w:val="6C9A29DE"/>
    <w:multiLevelType w:val="hybridMultilevel"/>
    <w:tmpl w:val="C0CA85D8"/>
    <w:lvl w:ilvl="0" w:tplc="3ECEF8A0">
      <w:start w:val="1"/>
      <w:numFmt w:val="bullet"/>
      <w:lvlText w:val=""/>
      <w:lvlJc w:val="left"/>
      <w:pPr>
        <w:ind w:left="720" w:hanging="360"/>
      </w:pPr>
      <w:rPr>
        <w:rFonts w:ascii="Symbol" w:hAnsi="Symbol" w:hint="default"/>
      </w:rPr>
    </w:lvl>
    <w:lvl w:ilvl="1" w:tplc="C0D2B29A">
      <w:start w:val="1"/>
      <w:numFmt w:val="bullet"/>
      <w:lvlText w:val="o"/>
      <w:lvlJc w:val="left"/>
      <w:pPr>
        <w:ind w:left="1440" w:hanging="360"/>
      </w:pPr>
      <w:rPr>
        <w:rFonts w:ascii="Courier New" w:hAnsi="Courier New" w:cs="Courier New" w:hint="default"/>
      </w:rPr>
    </w:lvl>
    <w:lvl w:ilvl="2" w:tplc="3666799A" w:tentative="1">
      <w:start w:val="1"/>
      <w:numFmt w:val="bullet"/>
      <w:lvlText w:val=""/>
      <w:lvlJc w:val="left"/>
      <w:pPr>
        <w:ind w:left="2160" w:hanging="360"/>
      </w:pPr>
      <w:rPr>
        <w:rFonts w:ascii="Wingdings" w:hAnsi="Wingdings" w:hint="default"/>
      </w:rPr>
    </w:lvl>
    <w:lvl w:ilvl="3" w:tplc="8E106274" w:tentative="1">
      <w:start w:val="1"/>
      <w:numFmt w:val="bullet"/>
      <w:lvlText w:val=""/>
      <w:lvlJc w:val="left"/>
      <w:pPr>
        <w:ind w:left="2880" w:hanging="360"/>
      </w:pPr>
      <w:rPr>
        <w:rFonts w:ascii="Symbol" w:hAnsi="Symbol" w:hint="default"/>
      </w:rPr>
    </w:lvl>
    <w:lvl w:ilvl="4" w:tplc="7988BE62" w:tentative="1">
      <w:start w:val="1"/>
      <w:numFmt w:val="bullet"/>
      <w:lvlText w:val="o"/>
      <w:lvlJc w:val="left"/>
      <w:pPr>
        <w:ind w:left="3600" w:hanging="360"/>
      </w:pPr>
      <w:rPr>
        <w:rFonts w:ascii="Courier New" w:hAnsi="Courier New" w:cs="Courier New" w:hint="default"/>
      </w:rPr>
    </w:lvl>
    <w:lvl w:ilvl="5" w:tplc="6AF0FBBA" w:tentative="1">
      <w:start w:val="1"/>
      <w:numFmt w:val="bullet"/>
      <w:lvlText w:val=""/>
      <w:lvlJc w:val="left"/>
      <w:pPr>
        <w:ind w:left="4320" w:hanging="360"/>
      </w:pPr>
      <w:rPr>
        <w:rFonts w:ascii="Wingdings" w:hAnsi="Wingdings" w:hint="default"/>
      </w:rPr>
    </w:lvl>
    <w:lvl w:ilvl="6" w:tplc="DAEA06A4" w:tentative="1">
      <w:start w:val="1"/>
      <w:numFmt w:val="bullet"/>
      <w:lvlText w:val=""/>
      <w:lvlJc w:val="left"/>
      <w:pPr>
        <w:ind w:left="5040" w:hanging="360"/>
      </w:pPr>
      <w:rPr>
        <w:rFonts w:ascii="Symbol" w:hAnsi="Symbol" w:hint="default"/>
      </w:rPr>
    </w:lvl>
    <w:lvl w:ilvl="7" w:tplc="061CC8B2" w:tentative="1">
      <w:start w:val="1"/>
      <w:numFmt w:val="bullet"/>
      <w:lvlText w:val="o"/>
      <w:lvlJc w:val="left"/>
      <w:pPr>
        <w:ind w:left="5760" w:hanging="360"/>
      </w:pPr>
      <w:rPr>
        <w:rFonts w:ascii="Courier New" w:hAnsi="Courier New" w:cs="Courier New" w:hint="default"/>
      </w:rPr>
    </w:lvl>
    <w:lvl w:ilvl="8" w:tplc="02D8529C" w:tentative="1">
      <w:start w:val="1"/>
      <w:numFmt w:val="bullet"/>
      <w:lvlText w:val=""/>
      <w:lvlJc w:val="left"/>
      <w:pPr>
        <w:ind w:left="6480" w:hanging="360"/>
      </w:pPr>
      <w:rPr>
        <w:rFonts w:ascii="Wingdings" w:hAnsi="Wingdings" w:hint="default"/>
      </w:rPr>
    </w:lvl>
  </w:abstractNum>
  <w:abstractNum w:abstractNumId="35" w15:restartNumberingAfterBreak="0">
    <w:nsid w:val="6FB708F1"/>
    <w:multiLevelType w:val="hybridMultilevel"/>
    <w:tmpl w:val="61789226"/>
    <w:lvl w:ilvl="0" w:tplc="A76686D2">
      <w:start w:val="1"/>
      <w:numFmt w:val="bullet"/>
      <w:lvlText w:val=""/>
      <w:lvlJc w:val="left"/>
      <w:pPr>
        <w:ind w:left="720" w:hanging="360"/>
      </w:pPr>
      <w:rPr>
        <w:rFonts w:ascii="Symbol" w:hAnsi="Symbol" w:hint="default"/>
      </w:rPr>
    </w:lvl>
    <w:lvl w:ilvl="1" w:tplc="8F44C81C" w:tentative="1">
      <w:start w:val="1"/>
      <w:numFmt w:val="bullet"/>
      <w:lvlText w:val="o"/>
      <w:lvlJc w:val="left"/>
      <w:pPr>
        <w:ind w:left="1440" w:hanging="360"/>
      </w:pPr>
      <w:rPr>
        <w:rFonts w:ascii="Courier New" w:hAnsi="Courier New" w:cs="Courier New" w:hint="default"/>
      </w:rPr>
    </w:lvl>
    <w:lvl w:ilvl="2" w:tplc="62BC56EA" w:tentative="1">
      <w:start w:val="1"/>
      <w:numFmt w:val="bullet"/>
      <w:lvlText w:val=""/>
      <w:lvlJc w:val="left"/>
      <w:pPr>
        <w:ind w:left="2160" w:hanging="360"/>
      </w:pPr>
      <w:rPr>
        <w:rFonts w:ascii="Wingdings" w:hAnsi="Wingdings" w:hint="default"/>
      </w:rPr>
    </w:lvl>
    <w:lvl w:ilvl="3" w:tplc="D7461240" w:tentative="1">
      <w:start w:val="1"/>
      <w:numFmt w:val="bullet"/>
      <w:lvlText w:val=""/>
      <w:lvlJc w:val="left"/>
      <w:pPr>
        <w:ind w:left="2880" w:hanging="360"/>
      </w:pPr>
      <w:rPr>
        <w:rFonts w:ascii="Symbol" w:hAnsi="Symbol" w:hint="default"/>
      </w:rPr>
    </w:lvl>
    <w:lvl w:ilvl="4" w:tplc="9E0E1C62" w:tentative="1">
      <w:start w:val="1"/>
      <w:numFmt w:val="bullet"/>
      <w:lvlText w:val="o"/>
      <w:lvlJc w:val="left"/>
      <w:pPr>
        <w:ind w:left="3600" w:hanging="360"/>
      </w:pPr>
      <w:rPr>
        <w:rFonts w:ascii="Courier New" w:hAnsi="Courier New" w:cs="Courier New" w:hint="default"/>
      </w:rPr>
    </w:lvl>
    <w:lvl w:ilvl="5" w:tplc="4DD43E00" w:tentative="1">
      <w:start w:val="1"/>
      <w:numFmt w:val="bullet"/>
      <w:lvlText w:val=""/>
      <w:lvlJc w:val="left"/>
      <w:pPr>
        <w:ind w:left="4320" w:hanging="360"/>
      </w:pPr>
      <w:rPr>
        <w:rFonts w:ascii="Wingdings" w:hAnsi="Wingdings" w:hint="default"/>
      </w:rPr>
    </w:lvl>
    <w:lvl w:ilvl="6" w:tplc="17743BBE" w:tentative="1">
      <w:start w:val="1"/>
      <w:numFmt w:val="bullet"/>
      <w:lvlText w:val=""/>
      <w:lvlJc w:val="left"/>
      <w:pPr>
        <w:ind w:left="5040" w:hanging="360"/>
      </w:pPr>
      <w:rPr>
        <w:rFonts w:ascii="Symbol" w:hAnsi="Symbol" w:hint="default"/>
      </w:rPr>
    </w:lvl>
    <w:lvl w:ilvl="7" w:tplc="77C67BBE" w:tentative="1">
      <w:start w:val="1"/>
      <w:numFmt w:val="bullet"/>
      <w:lvlText w:val="o"/>
      <w:lvlJc w:val="left"/>
      <w:pPr>
        <w:ind w:left="5760" w:hanging="360"/>
      </w:pPr>
      <w:rPr>
        <w:rFonts w:ascii="Courier New" w:hAnsi="Courier New" w:cs="Courier New" w:hint="default"/>
      </w:rPr>
    </w:lvl>
    <w:lvl w:ilvl="8" w:tplc="92C04434" w:tentative="1">
      <w:start w:val="1"/>
      <w:numFmt w:val="bullet"/>
      <w:lvlText w:val=""/>
      <w:lvlJc w:val="left"/>
      <w:pPr>
        <w:ind w:left="6480" w:hanging="360"/>
      </w:pPr>
      <w:rPr>
        <w:rFonts w:ascii="Wingdings" w:hAnsi="Wingdings" w:hint="default"/>
      </w:rPr>
    </w:lvl>
  </w:abstractNum>
  <w:abstractNum w:abstractNumId="36" w15:restartNumberingAfterBreak="0">
    <w:nsid w:val="6FC36D25"/>
    <w:multiLevelType w:val="hybridMultilevel"/>
    <w:tmpl w:val="AC3CF5C8"/>
    <w:lvl w:ilvl="0" w:tplc="2C90E514">
      <w:start w:val="1"/>
      <w:numFmt w:val="bullet"/>
      <w:lvlText w:val=""/>
      <w:lvlJc w:val="left"/>
      <w:pPr>
        <w:ind w:left="720" w:hanging="360"/>
      </w:pPr>
      <w:rPr>
        <w:rFonts w:ascii="Symbol" w:hAnsi="Symbol" w:hint="default"/>
      </w:rPr>
    </w:lvl>
    <w:lvl w:ilvl="1" w:tplc="B73CF2F2" w:tentative="1">
      <w:start w:val="1"/>
      <w:numFmt w:val="bullet"/>
      <w:lvlText w:val="o"/>
      <w:lvlJc w:val="left"/>
      <w:pPr>
        <w:ind w:left="1440" w:hanging="360"/>
      </w:pPr>
      <w:rPr>
        <w:rFonts w:ascii="Courier New" w:hAnsi="Courier New" w:cs="Courier New" w:hint="default"/>
      </w:rPr>
    </w:lvl>
    <w:lvl w:ilvl="2" w:tplc="B4EEC118" w:tentative="1">
      <w:start w:val="1"/>
      <w:numFmt w:val="bullet"/>
      <w:lvlText w:val=""/>
      <w:lvlJc w:val="left"/>
      <w:pPr>
        <w:ind w:left="2160" w:hanging="360"/>
      </w:pPr>
      <w:rPr>
        <w:rFonts w:ascii="Wingdings" w:hAnsi="Wingdings" w:hint="default"/>
      </w:rPr>
    </w:lvl>
    <w:lvl w:ilvl="3" w:tplc="62F48C48" w:tentative="1">
      <w:start w:val="1"/>
      <w:numFmt w:val="bullet"/>
      <w:lvlText w:val=""/>
      <w:lvlJc w:val="left"/>
      <w:pPr>
        <w:ind w:left="2880" w:hanging="360"/>
      </w:pPr>
      <w:rPr>
        <w:rFonts w:ascii="Symbol" w:hAnsi="Symbol" w:hint="default"/>
      </w:rPr>
    </w:lvl>
    <w:lvl w:ilvl="4" w:tplc="06E6FCC4" w:tentative="1">
      <w:start w:val="1"/>
      <w:numFmt w:val="bullet"/>
      <w:lvlText w:val="o"/>
      <w:lvlJc w:val="left"/>
      <w:pPr>
        <w:ind w:left="3600" w:hanging="360"/>
      </w:pPr>
      <w:rPr>
        <w:rFonts w:ascii="Courier New" w:hAnsi="Courier New" w:cs="Courier New" w:hint="default"/>
      </w:rPr>
    </w:lvl>
    <w:lvl w:ilvl="5" w:tplc="A85C6BC0" w:tentative="1">
      <w:start w:val="1"/>
      <w:numFmt w:val="bullet"/>
      <w:lvlText w:val=""/>
      <w:lvlJc w:val="left"/>
      <w:pPr>
        <w:ind w:left="4320" w:hanging="360"/>
      </w:pPr>
      <w:rPr>
        <w:rFonts w:ascii="Wingdings" w:hAnsi="Wingdings" w:hint="default"/>
      </w:rPr>
    </w:lvl>
    <w:lvl w:ilvl="6" w:tplc="371EE906" w:tentative="1">
      <w:start w:val="1"/>
      <w:numFmt w:val="bullet"/>
      <w:lvlText w:val=""/>
      <w:lvlJc w:val="left"/>
      <w:pPr>
        <w:ind w:left="5040" w:hanging="360"/>
      </w:pPr>
      <w:rPr>
        <w:rFonts w:ascii="Symbol" w:hAnsi="Symbol" w:hint="default"/>
      </w:rPr>
    </w:lvl>
    <w:lvl w:ilvl="7" w:tplc="0A303DEE" w:tentative="1">
      <w:start w:val="1"/>
      <w:numFmt w:val="bullet"/>
      <w:lvlText w:val="o"/>
      <w:lvlJc w:val="left"/>
      <w:pPr>
        <w:ind w:left="5760" w:hanging="360"/>
      </w:pPr>
      <w:rPr>
        <w:rFonts w:ascii="Courier New" w:hAnsi="Courier New" w:cs="Courier New" w:hint="default"/>
      </w:rPr>
    </w:lvl>
    <w:lvl w:ilvl="8" w:tplc="488A661C" w:tentative="1">
      <w:start w:val="1"/>
      <w:numFmt w:val="bullet"/>
      <w:lvlText w:val=""/>
      <w:lvlJc w:val="left"/>
      <w:pPr>
        <w:ind w:left="6480" w:hanging="360"/>
      </w:pPr>
      <w:rPr>
        <w:rFonts w:ascii="Wingdings" w:hAnsi="Wingdings" w:hint="default"/>
      </w:rPr>
    </w:lvl>
  </w:abstractNum>
  <w:abstractNum w:abstractNumId="37" w15:restartNumberingAfterBreak="0">
    <w:nsid w:val="7087460A"/>
    <w:multiLevelType w:val="hybridMultilevel"/>
    <w:tmpl w:val="44FCCC52"/>
    <w:lvl w:ilvl="0" w:tplc="452AB3A8">
      <w:start w:val="1"/>
      <w:numFmt w:val="bullet"/>
      <w:lvlText w:val=""/>
      <w:lvlJc w:val="left"/>
      <w:pPr>
        <w:ind w:left="720" w:hanging="360"/>
      </w:pPr>
      <w:rPr>
        <w:rFonts w:ascii="Wingdings" w:hAnsi="Wingdings" w:hint="default"/>
        <w:sz w:val="22"/>
        <w:szCs w:val="22"/>
      </w:rPr>
    </w:lvl>
    <w:lvl w:ilvl="1" w:tplc="A27E3724">
      <w:start w:val="1"/>
      <w:numFmt w:val="bullet"/>
      <w:lvlText w:val="o"/>
      <w:lvlJc w:val="left"/>
      <w:pPr>
        <w:ind w:left="1440" w:hanging="360"/>
      </w:pPr>
      <w:rPr>
        <w:rFonts w:ascii="Courier New" w:hAnsi="Courier New" w:cs="Courier New" w:hint="default"/>
      </w:rPr>
    </w:lvl>
    <w:lvl w:ilvl="2" w:tplc="EA847648">
      <w:start w:val="1"/>
      <w:numFmt w:val="bullet"/>
      <w:lvlText w:val=""/>
      <w:lvlJc w:val="left"/>
      <w:pPr>
        <w:ind w:left="2160" w:hanging="360"/>
      </w:pPr>
      <w:rPr>
        <w:rFonts w:ascii="Wingdings" w:hAnsi="Wingdings" w:hint="default"/>
      </w:rPr>
    </w:lvl>
    <w:lvl w:ilvl="3" w:tplc="27D0C400">
      <w:start w:val="1"/>
      <w:numFmt w:val="bullet"/>
      <w:lvlText w:val=""/>
      <w:lvlJc w:val="left"/>
      <w:pPr>
        <w:ind w:left="2880" w:hanging="360"/>
      </w:pPr>
      <w:rPr>
        <w:rFonts w:ascii="Symbol" w:hAnsi="Symbol" w:hint="default"/>
      </w:rPr>
    </w:lvl>
    <w:lvl w:ilvl="4" w:tplc="AD006F9C">
      <w:start w:val="1"/>
      <w:numFmt w:val="bullet"/>
      <w:lvlText w:val="o"/>
      <w:lvlJc w:val="left"/>
      <w:pPr>
        <w:ind w:left="3600" w:hanging="360"/>
      </w:pPr>
      <w:rPr>
        <w:rFonts w:ascii="Courier New" w:hAnsi="Courier New" w:cs="Courier New" w:hint="default"/>
      </w:rPr>
    </w:lvl>
    <w:lvl w:ilvl="5" w:tplc="4934A272">
      <w:start w:val="1"/>
      <w:numFmt w:val="bullet"/>
      <w:lvlText w:val=""/>
      <w:lvlJc w:val="left"/>
      <w:pPr>
        <w:ind w:left="4320" w:hanging="360"/>
      </w:pPr>
      <w:rPr>
        <w:rFonts w:ascii="Wingdings" w:hAnsi="Wingdings" w:hint="default"/>
      </w:rPr>
    </w:lvl>
    <w:lvl w:ilvl="6" w:tplc="80CCB080">
      <w:start w:val="1"/>
      <w:numFmt w:val="bullet"/>
      <w:lvlText w:val=""/>
      <w:lvlJc w:val="left"/>
      <w:pPr>
        <w:ind w:left="5040" w:hanging="360"/>
      </w:pPr>
      <w:rPr>
        <w:rFonts w:ascii="Symbol" w:hAnsi="Symbol" w:hint="default"/>
      </w:rPr>
    </w:lvl>
    <w:lvl w:ilvl="7" w:tplc="8D2E85F4">
      <w:start w:val="1"/>
      <w:numFmt w:val="bullet"/>
      <w:lvlText w:val="o"/>
      <w:lvlJc w:val="left"/>
      <w:pPr>
        <w:ind w:left="5760" w:hanging="360"/>
      </w:pPr>
      <w:rPr>
        <w:rFonts w:ascii="Courier New" w:hAnsi="Courier New" w:cs="Courier New" w:hint="default"/>
      </w:rPr>
    </w:lvl>
    <w:lvl w:ilvl="8" w:tplc="43FEC7E8">
      <w:start w:val="1"/>
      <w:numFmt w:val="bullet"/>
      <w:lvlText w:val=""/>
      <w:lvlJc w:val="left"/>
      <w:pPr>
        <w:ind w:left="6480" w:hanging="360"/>
      </w:pPr>
      <w:rPr>
        <w:rFonts w:ascii="Wingdings" w:hAnsi="Wingdings" w:hint="default"/>
      </w:rPr>
    </w:lvl>
  </w:abstractNum>
  <w:abstractNum w:abstractNumId="38" w15:restartNumberingAfterBreak="0">
    <w:nsid w:val="712A2F9D"/>
    <w:multiLevelType w:val="hybridMultilevel"/>
    <w:tmpl w:val="9DAC388A"/>
    <w:lvl w:ilvl="0" w:tplc="9EB2861A">
      <w:start w:val="1"/>
      <w:numFmt w:val="bullet"/>
      <w:lvlText w:val=""/>
      <w:lvlJc w:val="left"/>
      <w:pPr>
        <w:ind w:left="720" w:hanging="360"/>
      </w:pPr>
      <w:rPr>
        <w:rFonts w:ascii="Symbol" w:hAnsi="Symbol" w:hint="default"/>
      </w:rPr>
    </w:lvl>
    <w:lvl w:ilvl="1" w:tplc="2D2C3700" w:tentative="1">
      <w:start w:val="1"/>
      <w:numFmt w:val="bullet"/>
      <w:lvlText w:val="o"/>
      <w:lvlJc w:val="left"/>
      <w:pPr>
        <w:ind w:left="1440" w:hanging="360"/>
      </w:pPr>
      <w:rPr>
        <w:rFonts w:ascii="Courier New" w:hAnsi="Courier New" w:cs="Courier New" w:hint="default"/>
      </w:rPr>
    </w:lvl>
    <w:lvl w:ilvl="2" w:tplc="867256C2" w:tentative="1">
      <w:start w:val="1"/>
      <w:numFmt w:val="bullet"/>
      <w:lvlText w:val=""/>
      <w:lvlJc w:val="left"/>
      <w:pPr>
        <w:ind w:left="2160" w:hanging="360"/>
      </w:pPr>
      <w:rPr>
        <w:rFonts w:ascii="Wingdings" w:hAnsi="Wingdings" w:hint="default"/>
      </w:rPr>
    </w:lvl>
    <w:lvl w:ilvl="3" w:tplc="E5E2D256" w:tentative="1">
      <w:start w:val="1"/>
      <w:numFmt w:val="bullet"/>
      <w:lvlText w:val=""/>
      <w:lvlJc w:val="left"/>
      <w:pPr>
        <w:ind w:left="2880" w:hanging="360"/>
      </w:pPr>
      <w:rPr>
        <w:rFonts w:ascii="Symbol" w:hAnsi="Symbol" w:hint="default"/>
      </w:rPr>
    </w:lvl>
    <w:lvl w:ilvl="4" w:tplc="C4DA7080" w:tentative="1">
      <w:start w:val="1"/>
      <w:numFmt w:val="bullet"/>
      <w:lvlText w:val="o"/>
      <w:lvlJc w:val="left"/>
      <w:pPr>
        <w:ind w:left="3600" w:hanging="360"/>
      </w:pPr>
      <w:rPr>
        <w:rFonts w:ascii="Courier New" w:hAnsi="Courier New" w:cs="Courier New" w:hint="default"/>
      </w:rPr>
    </w:lvl>
    <w:lvl w:ilvl="5" w:tplc="810C080A" w:tentative="1">
      <w:start w:val="1"/>
      <w:numFmt w:val="bullet"/>
      <w:lvlText w:val=""/>
      <w:lvlJc w:val="left"/>
      <w:pPr>
        <w:ind w:left="4320" w:hanging="360"/>
      </w:pPr>
      <w:rPr>
        <w:rFonts w:ascii="Wingdings" w:hAnsi="Wingdings" w:hint="default"/>
      </w:rPr>
    </w:lvl>
    <w:lvl w:ilvl="6" w:tplc="E376D6AE" w:tentative="1">
      <w:start w:val="1"/>
      <w:numFmt w:val="bullet"/>
      <w:lvlText w:val=""/>
      <w:lvlJc w:val="left"/>
      <w:pPr>
        <w:ind w:left="5040" w:hanging="360"/>
      </w:pPr>
      <w:rPr>
        <w:rFonts w:ascii="Symbol" w:hAnsi="Symbol" w:hint="default"/>
      </w:rPr>
    </w:lvl>
    <w:lvl w:ilvl="7" w:tplc="481262F8" w:tentative="1">
      <w:start w:val="1"/>
      <w:numFmt w:val="bullet"/>
      <w:lvlText w:val="o"/>
      <w:lvlJc w:val="left"/>
      <w:pPr>
        <w:ind w:left="5760" w:hanging="360"/>
      </w:pPr>
      <w:rPr>
        <w:rFonts w:ascii="Courier New" w:hAnsi="Courier New" w:cs="Courier New" w:hint="default"/>
      </w:rPr>
    </w:lvl>
    <w:lvl w:ilvl="8" w:tplc="45D44F12" w:tentative="1">
      <w:start w:val="1"/>
      <w:numFmt w:val="bullet"/>
      <w:lvlText w:val=""/>
      <w:lvlJc w:val="left"/>
      <w:pPr>
        <w:ind w:left="6480" w:hanging="360"/>
      </w:pPr>
      <w:rPr>
        <w:rFonts w:ascii="Wingdings" w:hAnsi="Wingdings" w:hint="default"/>
      </w:rPr>
    </w:lvl>
  </w:abstractNum>
  <w:abstractNum w:abstractNumId="39" w15:restartNumberingAfterBreak="0">
    <w:nsid w:val="74C87E6B"/>
    <w:multiLevelType w:val="hybridMultilevel"/>
    <w:tmpl w:val="B156DF90"/>
    <w:lvl w:ilvl="0" w:tplc="17046116">
      <w:start w:val="1"/>
      <w:numFmt w:val="bullet"/>
      <w:lvlText w:val=""/>
      <w:lvlJc w:val="left"/>
      <w:pPr>
        <w:ind w:left="720" w:hanging="360"/>
      </w:pPr>
      <w:rPr>
        <w:rFonts w:ascii="Symbol" w:hAnsi="Symbol" w:hint="default"/>
      </w:rPr>
    </w:lvl>
    <w:lvl w:ilvl="1" w:tplc="1D7C60F8" w:tentative="1">
      <w:start w:val="1"/>
      <w:numFmt w:val="bullet"/>
      <w:lvlText w:val="o"/>
      <w:lvlJc w:val="left"/>
      <w:pPr>
        <w:ind w:left="1440" w:hanging="360"/>
      </w:pPr>
      <w:rPr>
        <w:rFonts w:ascii="Courier New" w:hAnsi="Courier New" w:cs="Courier New" w:hint="default"/>
      </w:rPr>
    </w:lvl>
    <w:lvl w:ilvl="2" w:tplc="94808730" w:tentative="1">
      <w:start w:val="1"/>
      <w:numFmt w:val="bullet"/>
      <w:lvlText w:val=""/>
      <w:lvlJc w:val="left"/>
      <w:pPr>
        <w:ind w:left="2160" w:hanging="360"/>
      </w:pPr>
      <w:rPr>
        <w:rFonts w:ascii="Wingdings" w:hAnsi="Wingdings" w:hint="default"/>
      </w:rPr>
    </w:lvl>
    <w:lvl w:ilvl="3" w:tplc="D3EEF49E" w:tentative="1">
      <w:start w:val="1"/>
      <w:numFmt w:val="bullet"/>
      <w:lvlText w:val=""/>
      <w:lvlJc w:val="left"/>
      <w:pPr>
        <w:ind w:left="2880" w:hanging="360"/>
      </w:pPr>
      <w:rPr>
        <w:rFonts w:ascii="Symbol" w:hAnsi="Symbol" w:hint="default"/>
      </w:rPr>
    </w:lvl>
    <w:lvl w:ilvl="4" w:tplc="063A5F76" w:tentative="1">
      <w:start w:val="1"/>
      <w:numFmt w:val="bullet"/>
      <w:lvlText w:val="o"/>
      <w:lvlJc w:val="left"/>
      <w:pPr>
        <w:ind w:left="3600" w:hanging="360"/>
      </w:pPr>
      <w:rPr>
        <w:rFonts w:ascii="Courier New" w:hAnsi="Courier New" w:cs="Courier New" w:hint="default"/>
      </w:rPr>
    </w:lvl>
    <w:lvl w:ilvl="5" w:tplc="BA32A7F8" w:tentative="1">
      <w:start w:val="1"/>
      <w:numFmt w:val="bullet"/>
      <w:lvlText w:val=""/>
      <w:lvlJc w:val="left"/>
      <w:pPr>
        <w:ind w:left="4320" w:hanging="360"/>
      </w:pPr>
      <w:rPr>
        <w:rFonts w:ascii="Wingdings" w:hAnsi="Wingdings" w:hint="default"/>
      </w:rPr>
    </w:lvl>
    <w:lvl w:ilvl="6" w:tplc="5A249354" w:tentative="1">
      <w:start w:val="1"/>
      <w:numFmt w:val="bullet"/>
      <w:lvlText w:val=""/>
      <w:lvlJc w:val="left"/>
      <w:pPr>
        <w:ind w:left="5040" w:hanging="360"/>
      </w:pPr>
      <w:rPr>
        <w:rFonts w:ascii="Symbol" w:hAnsi="Symbol" w:hint="default"/>
      </w:rPr>
    </w:lvl>
    <w:lvl w:ilvl="7" w:tplc="9B58EA30" w:tentative="1">
      <w:start w:val="1"/>
      <w:numFmt w:val="bullet"/>
      <w:lvlText w:val="o"/>
      <w:lvlJc w:val="left"/>
      <w:pPr>
        <w:ind w:left="5760" w:hanging="360"/>
      </w:pPr>
      <w:rPr>
        <w:rFonts w:ascii="Courier New" w:hAnsi="Courier New" w:cs="Courier New" w:hint="default"/>
      </w:rPr>
    </w:lvl>
    <w:lvl w:ilvl="8" w:tplc="E66EBD94" w:tentative="1">
      <w:start w:val="1"/>
      <w:numFmt w:val="bullet"/>
      <w:lvlText w:val=""/>
      <w:lvlJc w:val="left"/>
      <w:pPr>
        <w:ind w:left="6480" w:hanging="360"/>
      </w:pPr>
      <w:rPr>
        <w:rFonts w:ascii="Wingdings" w:hAnsi="Wingdings" w:hint="default"/>
      </w:rPr>
    </w:lvl>
  </w:abstractNum>
  <w:abstractNum w:abstractNumId="40" w15:restartNumberingAfterBreak="0">
    <w:nsid w:val="74ED7633"/>
    <w:multiLevelType w:val="hybridMultilevel"/>
    <w:tmpl w:val="823245AE"/>
    <w:lvl w:ilvl="0" w:tplc="DADA6B84">
      <w:start w:val="293"/>
      <w:numFmt w:val="bullet"/>
      <w:lvlText w:val="-"/>
      <w:lvlJc w:val="left"/>
      <w:pPr>
        <w:ind w:left="720" w:hanging="360"/>
      </w:pPr>
      <w:rPr>
        <w:rFonts w:ascii="Arial" w:eastAsiaTheme="minorHAnsi" w:hAnsi="Arial" w:cs="Arial" w:hint="default"/>
        <w:color w:val="auto"/>
      </w:rPr>
    </w:lvl>
    <w:lvl w:ilvl="1" w:tplc="2AC4EE5C" w:tentative="1">
      <w:start w:val="1"/>
      <w:numFmt w:val="bullet"/>
      <w:lvlText w:val="o"/>
      <w:lvlJc w:val="left"/>
      <w:pPr>
        <w:ind w:left="1440" w:hanging="360"/>
      </w:pPr>
      <w:rPr>
        <w:rFonts w:ascii="Courier New" w:hAnsi="Courier New" w:cs="Courier New" w:hint="default"/>
      </w:rPr>
    </w:lvl>
    <w:lvl w:ilvl="2" w:tplc="CB589016" w:tentative="1">
      <w:start w:val="1"/>
      <w:numFmt w:val="bullet"/>
      <w:lvlText w:val=""/>
      <w:lvlJc w:val="left"/>
      <w:pPr>
        <w:ind w:left="2160" w:hanging="360"/>
      </w:pPr>
      <w:rPr>
        <w:rFonts w:ascii="Wingdings" w:hAnsi="Wingdings" w:hint="default"/>
      </w:rPr>
    </w:lvl>
    <w:lvl w:ilvl="3" w:tplc="3D483DCC" w:tentative="1">
      <w:start w:val="1"/>
      <w:numFmt w:val="bullet"/>
      <w:lvlText w:val=""/>
      <w:lvlJc w:val="left"/>
      <w:pPr>
        <w:ind w:left="2880" w:hanging="360"/>
      </w:pPr>
      <w:rPr>
        <w:rFonts w:ascii="Symbol" w:hAnsi="Symbol" w:hint="default"/>
      </w:rPr>
    </w:lvl>
    <w:lvl w:ilvl="4" w:tplc="33F49822" w:tentative="1">
      <w:start w:val="1"/>
      <w:numFmt w:val="bullet"/>
      <w:lvlText w:val="o"/>
      <w:lvlJc w:val="left"/>
      <w:pPr>
        <w:ind w:left="3600" w:hanging="360"/>
      </w:pPr>
      <w:rPr>
        <w:rFonts w:ascii="Courier New" w:hAnsi="Courier New" w:cs="Courier New" w:hint="default"/>
      </w:rPr>
    </w:lvl>
    <w:lvl w:ilvl="5" w:tplc="CA72195E" w:tentative="1">
      <w:start w:val="1"/>
      <w:numFmt w:val="bullet"/>
      <w:lvlText w:val=""/>
      <w:lvlJc w:val="left"/>
      <w:pPr>
        <w:ind w:left="4320" w:hanging="360"/>
      </w:pPr>
      <w:rPr>
        <w:rFonts w:ascii="Wingdings" w:hAnsi="Wingdings" w:hint="default"/>
      </w:rPr>
    </w:lvl>
    <w:lvl w:ilvl="6" w:tplc="98D232E8" w:tentative="1">
      <w:start w:val="1"/>
      <w:numFmt w:val="bullet"/>
      <w:lvlText w:val=""/>
      <w:lvlJc w:val="left"/>
      <w:pPr>
        <w:ind w:left="5040" w:hanging="360"/>
      </w:pPr>
      <w:rPr>
        <w:rFonts w:ascii="Symbol" w:hAnsi="Symbol" w:hint="default"/>
      </w:rPr>
    </w:lvl>
    <w:lvl w:ilvl="7" w:tplc="4BA6A85C" w:tentative="1">
      <w:start w:val="1"/>
      <w:numFmt w:val="bullet"/>
      <w:lvlText w:val="o"/>
      <w:lvlJc w:val="left"/>
      <w:pPr>
        <w:ind w:left="5760" w:hanging="360"/>
      </w:pPr>
      <w:rPr>
        <w:rFonts w:ascii="Courier New" w:hAnsi="Courier New" w:cs="Courier New" w:hint="default"/>
      </w:rPr>
    </w:lvl>
    <w:lvl w:ilvl="8" w:tplc="68E48CFA" w:tentative="1">
      <w:start w:val="1"/>
      <w:numFmt w:val="bullet"/>
      <w:lvlText w:val=""/>
      <w:lvlJc w:val="left"/>
      <w:pPr>
        <w:ind w:left="6480" w:hanging="360"/>
      </w:pPr>
      <w:rPr>
        <w:rFonts w:ascii="Wingdings" w:hAnsi="Wingdings" w:hint="default"/>
      </w:rPr>
    </w:lvl>
  </w:abstractNum>
  <w:abstractNum w:abstractNumId="41" w15:restartNumberingAfterBreak="0">
    <w:nsid w:val="79935CE0"/>
    <w:multiLevelType w:val="hybridMultilevel"/>
    <w:tmpl w:val="AE462ECC"/>
    <w:lvl w:ilvl="0" w:tplc="34285B7A">
      <w:start w:val="1"/>
      <w:numFmt w:val="bullet"/>
      <w:lvlText w:val=""/>
      <w:lvlJc w:val="left"/>
      <w:pPr>
        <w:ind w:left="720" w:hanging="360"/>
      </w:pPr>
      <w:rPr>
        <w:rFonts w:ascii="Symbol" w:hAnsi="Symbol" w:hint="default"/>
      </w:rPr>
    </w:lvl>
    <w:lvl w:ilvl="1" w:tplc="C5222218" w:tentative="1">
      <w:start w:val="1"/>
      <w:numFmt w:val="bullet"/>
      <w:lvlText w:val="o"/>
      <w:lvlJc w:val="left"/>
      <w:pPr>
        <w:ind w:left="1440" w:hanging="360"/>
      </w:pPr>
      <w:rPr>
        <w:rFonts w:ascii="Courier New" w:hAnsi="Courier New" w:cs="Courier New" w:hint="default"/>
      </w:rPr>
    </w:lvl>
    <w:lvl w:ilvl="2" w:tplc="3F262A74" w:tentative="1">
      <w:start w:val="1"/>
      <w:numFmt w:val="bullet"/>
      <w:lvlText w:val=""/>
      <w:lvlJc w:val="left"/>
      <w:pPr>
        <w:ind w:left="2160" w:hanging="360"/>
      </w:pPr>
      <w:rPr>
        <w:rFonts w:ascii="Wingdings" w:hAnsi="Wingdings" w:hint="default"/>
      </w:rPr>
    </w:lvl>
    <w:lvl w:ilvl="3" w:tplc="05E2FEC6" w:tentative="1">
      <w:start w:val="1"/>
      <w:numFmt w:val="bullet"/>
      <w:lvlText w:val=""/>
      <w:lvlJc w:val="left"/>
      <w:pPr>
        <w:ind w:left="2880" w:hanging="360"/>
      </w:pPr>
      <w:rPr>
        <w:rFonts w:ascii="Symbol" w:hAnsi="Symbol" w:hint="default"/>
      </w:rPr>
    </w:lvl>
    <w:lvl w:ilvl="4" w:tplc="91B8E376" w:tentative="1">
      <w:start w:val="1"/>
      <w:numFmt w:val="bullet"/>
      <w:lvlText w:val="o"/>
      <w:lvlJc w:val="left"/>
      <w:pPr>
        <w:ind w:left="3600" w:hanging="360"/>
      </w:pPr>
      <w:rPr>
        <w:rFonts w:ascii="Courier New" w:hAnsi="Courier New" w:cs="Courier New" w:hint="default"/>
      </w:rPr>
    </w:lvl>
    <w:lvl w:ilvl="5" w:tplc="CD14ECF6" w:tentative="1">
      <w:start w:val="1"/>
      <w:numFmt w:val="bullet"/>
      <w:lvlText w:val=""/>
      <w:lvlJc w:val="left"/>
      <w:pPr>
        <w:ind w:left="4320" w:hanging="360"/>
      </w:pPr>
      <w:rPr>
        <w:rFonts w:ascii="Wingdings" w:hAnsi="Wingdings" w:hint="default"/>
      </w:rPr>
    </w:lvl>
    <w:lvl w:ilvl="6" w:tplc="4BB6EC94" w:tentative="1">
      <w:start w:val="1"/>
      <w:numFmt w:val="bullet"/>
      <w:lvlText w:val=""/>
      <w:lvlJc w:val="left"/>
      <w:pPr>
        <w:ind w:left="5040" w:hanging="360"/>
      </w:pPr>
      <w:rPr>
        <w:rFonts w:ascii="Symbol" w:hAnsi="Symbol" w:hint="default"/>
      </w:rPr>
    </w:lvl>
    <w:lvl w:ilvl="7" w:tplc="76226C6A" w:tentative="1">
      <w:start w:val="1"/>
      <w:numFmt w:val="bullet"/>
      <w:lvlText w:val="o"/>
      <w:lvlJc w:val="left"/>
      <w:pPr>
        <w:ind w:left="5760" w:hanging="360"/>
      </w:pPr>
      <w:rPr>
        <w:rFonts w:ascii="Courier New" w:hAnsi="Courier New" w:cs="Courier New" w:hint="default"/>
      </w:rPr>
    </w:lvl>
    <w:lvl w:ilvl="8" w:tplc="BCE2B040" w:tentative="1">
      <w:start w:val="1"/>
      <w:numFmt w:val="bullet"/>
      <w:lvlText w:val=""/>
      <w:lvlJc w:val="left"/>
      <w:pPr>
        <w:ind w:left="6480" w:hanging="360"/>
      </w:pPr>
      <w:rPr>
        <w:rFonts w:ascii="Wingdings" w:hAnsi="Wingdings" w:hint="default"/>
      </w:rPr>
    </w:lvl>
  </w:abstractNum>
  <w:abstractNum w:abstractNumId="42" w15:restartNumberingAfterBreak="0">
    <w:nsid w:val="7AC81F20"/>
    <w:multiLevelType w:val="hybridMultilevel"/>
    <w:tmpl w:val="30BAD528"/>
    <w:lvl w:ilvl="0" w:tplc="38242D7E">
      <w:numFmt w:val="bullet"/>
      <w:lvlText w:val="-"/>
      <w:lvlJc w:val="left"/>
      <w:pPr>
        <w:ind w:left="720" w:hanging="360"/>
      </w:pPr>
      <w:rPr>
        <w:rFonts w:ascii="Arial" w:eastAsiaTheme="minorEastAsia" w:hAnsi="Arial" w:cs="Arial" w:hint="default"/>
      </w:rPr>
    </w:lvl>
    <w:lvl w:ilvl="1" w:tplc="AC6AF03C" w:tentative="1">
      <w:start w:val="1"/>
      <w:numFmt w:val="bullet"/>
      <w:lvlText w:val="o"/>
      <w:lvlJc w:val="left"/>
      <w:pPr>
        <w:ind w:left="1440" w:hanging="360"/>
      </w:pPr>
      <w:rPr>
        <w:rFonts w:ascii="Courier New" w:hAnsi="Courier New" w:cs="Courier New" w:hint="default"/>
      </w:rPr>
    </w:lvl>
    <w:lvl w:ilvl="2" w:tplc="B9884FF2" w:tentative="1">
      <w:start w:val="1"/>
      <w:numFmt w:val="bullet"/>
      <w:lvlText w:val=""/>
      <w:lvlJc w:val="left"/>
      <w:pPr>
        <w:ind w:left="2160" w:hanging="360"/>
      </w:pPr>
      <w:rPr>
        <w:rFonts w:ascii="Wingdings" w:hAnsi="Wingdings" w:hint="default"/>
      </w:rPr>
    </w:lvl>
    <w:lvl w:ilvl="3" w:tplc="8500F946" w:tentative="1">
      <w:start w:val="1"/>
      <w:numFmt w:val="bullet"/>
      <w:lvlText w:val=""/>
      <w:lvlJc w:val="left"/>
      <w:pPr>
        <w:ind w:left="2880" w:hanging="360"/>
      </w:pPr>
      <w:rPr>
        <w:rFonts w:ascii="Symbol" w:hAnsi="Symbol" w:hint="default"/>
      </w:rPr>
    </w:lvl>
    <w:lvl w:ilvl="4" w:tplc="9C62E31A" w:tentative="1">
      <w:start w:val="1"/>
      <w:numFmt w:val="bullet"/>
      <w:lvlText w:val="o"/>
      <w:lvlJc w:val="left"/>
      <w:pPr>
        <w:ind w:left="3600" w:hanging="360"/>
      </w:pPr>
      <w:rPr>
        <w:rFonts w:ascii="Courier New" w:hAnsi="Courier New" w:cs="Courier New" w:hint="default"/>
      </w:rPr>
    </w:lvl>
    <w:lvl w:ilvl="5" w:tplc="FBCEBEA8" w:tentative="1">
      <w:start w:val="1"/>
      <w:numFmt w:val="bullet"/>
      <w:lvlText w:val=""/>
      <w:lvlJc w:val="left"/>
      <w:pPr>
        <w:ind w:left="4320" w:hanging="360"/>
      </w:pPr>
      <w:rPr>
        <w:rFonts w:ascii="Wingdings" w:hAnsi="Wingdings" w:hint="default"/>
      </w:rPr>
    </w:lvl>
    <w:lvl w:ilvl="6" w:tplc="E728AD12" w:tentative="1">
      <w:start w:val="1"/>
      <w:numFmt w:val="bullet"/>
      <w:lvlText w:val=""/>
      <w:lvlJc w:val="left"/>
      <w:pPr>
        <w:ind w:left="5040" w:hanging="360"/>
      </w:pPr>
      <w:rPr>
        <w:rFonts w:ascii="Symbol" w:hAnsi="Symbol" w:hint="default"/>
      </w:rPr>
    </w:lvl>
    <w:lvl w:ilvl="7" w:tplc="06BCCB12" w:tentative="1">
      <w:start w:val="1"/>
      <w:numFmt w:val="bullet"/>
      <w:lvlText w:val="o"/>
      <w:lvlJc w:val="left"/>
      <w:pPr>
        <w:ind w:left="5760" w:hanging="360"/>
      </w:pPr>
      <w:rPr>
        <w:rFonts w:ascii="Courier New" w:hAnsi="Courier New" w:cs="Courier New" w:hint="default"/>
      </w:rPr>
    </w:lvl>
    <w:lvl w:ilvl="8" w:tplc="21A627FE" w:tentative="1">
      <w:start w:val="1"/>
      <w:numFmt w:val="bullet"/>
      <w:lvlText w:val=""/>
      <w:lvlJc w:val="left"/>
      <w:pPr>
        <w:ind w:left="6480" w:hanging="360"/>
      </w:pPr>
      <w:rPr>
        <w:rFonts w:ascii="Wingdings" w:hAnsi="Wingdings" w:hint="default"/>
      </w:rPr>
    </w:lvl>
  </w:abstractNum>
  <w:abstractNum w:abstractNumId="43"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19"/>
  </w:num>
  <w:num w:numId="4">
    <w:abstractNumId w:val="36"/>
  </w:num>
  <w:num w:numId="5">
    <w:abstractNumId w:val="1"/>
  </w:num>
  <w:num w:numId="6">
    <w:abstractNumId w:val="33"/>
  </w:num>
  <w:num w:numId="7">
    <w:abstractNumId w:val="7"/>
  </w:num>
  <w:num w:numId="8">
    <w:abstractNumId w:val="39"/>
  </w:num>
  <w:num w:numId="9">
    <w:abstractNumId w:val="15"/>
  </w:num>
  <w:num w:numId="10">
    <w:abstractNumId w:val="43"/>
  </w:num>
  <w:num w:numId="11">
    <w:abstractNumId w:val="5"/>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6"/>
  </w:num>
  <w:num w:numId="17">
    <w:abstractNumId w:val="22"/>
  </w:num>
  <w:num w:numId="18">
    <w:abstractNumId w:val="37"/>
  </w:num>
  <w:num w:numId="19">
    <w:abstractNumId w:val="29"/>
  </w:num>
  <w:num w:numId="20">
    <w:abstractNumId w:val="20"/>
  </w:num>
  <w:num w:numId="21">
    <w:abstractNumId w:val="3"/>
  </w:num>
  <w:num w:numId="22">
    <w:abstractNumId w:val="4"/>
  </w:num>
  <w:num w:numId="23">
    <w:abstractNumId w:val="14"/>
  </w:num>
  <w:num w:numId="24">
    <w:abstractNumId w:val="32"/>
  </w:num>
  <w:num w:numId="25">
    <w:abstractNumId w:val="23"/>
  </w:num>
  <w:num w:numId="26">
    <w:abstractNumId w:val="21"/>
  </w:num>
  <w:num w:numId="27">
    <w:abstractNumId w:val="30"/>
  </w:num>
  <w:num w:numId="28">
    <w:abstractNumId w:val="25"/>
  </w:num>
  <w:num w:numId="29">
    <w:abstractNumId w:val="28"/>
  </w:num>
  <w:num w:numId="30">
    <w:abstractNumId w:val="16"/>
  </w:num>
  <w:num w:numId="31">
    <w:abstractNumId w:val="11"/>
  </w:num>
  <w:num w:numId="32">
    <w:abstractNumId w:val="41"/>
  </w:num>
  <w:num w:numId="33">
    <w:abstractNumId w:val="38"/>
  </w:num>
  <w:num w:numId="34">
    <w:abstractNumId w:val="2"/>
  </w:num>
  <w:num w:numId="35">
    <w:abstractNumId w:val="31"/>
  </w:num>
  <w:num w:numId="36">
    <w:abstractNumId w:val="42"/>
  </w:num>
  <w:num w:numId="37">
    <w:abstractNumId w:val="40"/>
  </w:num>
  <w:num w:numId="38">
    <w:abstractNumId w:val="24"/>
  </w:num>
  <w:num w:numId="39">
    <w:abstractNumId w:val="12"/>
  </w:num>
  <w:num w:numId="40">
    <w:abstractNumId w:val="8"/>
  </w:num>
  <w:num w:numId="41">
    <w:abstractNumId w:val="13"/>
  </w:num>
  <w:num w:numId="42">
    <w:abstractNumId w:val="18"/>
  </w:num>
  <w:num w:numId="43">
    <w:abstractNumId w:val="35"/>
  </w:num>
  <w:num w:numId="44">
    <w:abstractNumId w:val="18"/>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FE"/>
    <w:rsid w:val="001171D8"/>
    <w:rsid w:val="00227E42"/>
    <w:rsid w:val="004744FE"/>
    <w:rsid w:val="005A5945"/>
    <w:rsid w:val="00637FE0"/>
    <w:rsid w:val="009A60AA"/>
    <w:rsid w:val="009B31E1"/>
    <w:rsid w:val="00E9302E"/>
    <w:rsid w:val="00FA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FB8B94-7B0A-4D31-B2FD-57C995D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7F"/>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B54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inspectorates.gov.uk/hmiprobation/inspections/lancashireyo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81EA-9B39-4AA9-A227-F5F07A05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1051</TotalTime>
  <Pages>13</Pages>
  <Words>4434</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Mansfield, Joanne</cp:lastModifiedBy>
  <cp:revision>95</cp:revision>
  <cp:lastPrinted>2019-08-23T14:13:00Z</cp:lastPrinted>
  <dcterms:created xsi:type="dcterms:W3CDTF">2019-05-20T20:03:00Z</dcterms:created>
  <dcterms:modified xsi:type="dcterms:W3CDTF">2019-09-03T10:25:00Z</dcterms:modified>
</cp:coreProperties>
</file>